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2681BD1" w:rsidR="00831EA1" w:rsidRPr="00240098" w:rsidRDefault="006612A7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Syed Imran Shah</w:t>
      </w:r>
    </w:p>
    <w:p w14:paraId="06549A75" w14:textId="4E43D75D" w:rsidR="00831EA1" w:rsidRPr="00240098" w:rsidRDefault="006612A7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22A2379" w:rsidR="00240098" w:rsidRDefault="006612A7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FFC Energy Ltd</w:t>
      </w:r>
    </w:p>
    <w:p w14:paraId="04C3DDFA" w14:textId="5D444F21" w:rsidR="00FD4F09" w:rsidRDefault="006612A7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156-The Mall, Rawalpindi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1C559A4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6612A7">
        <w:rPr>
          <w:rFonts w:ascii="Poppins" w:eastAsia="Calibri" w:hAnsi="Poppins" w:cs="Poppins"/>
          <w:b/>
          <w:bCs/>
          <w:color w:val="0B2545"/>
          <w:sz w:val="19"/>
          <w:szCs w:val="19"/>
        </w:rPr>
        <w:t>FFC Energy Ltd</w:t>
      </w:r>
    </w:p>
    <w:p w14:paraId="344F4652" w14:textId="28CE5F29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6612A7">
        <w:rPr>
          <w:rFonts w:ascii="Poppins" w:eastAsia="Calibri" w:hAnsi="Poppins" w:cs="Poppins"/>
          <w:color w:val="3A3A3A"/>
          <w:sz w:val="19"/>
          <w:szCs w:val="19"/>
        </w:rPr>
        <w:t>Syed Imran Shah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2D63CB1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6612A7">
        <w:rPr>
          <w:rFonts w:ascii="Poppins" w:hAnsi="Poppins" w:cs="Poppins"/>
          <w:sz w:val="19"/>
          <w:szCs w:val="19"/>
        </w:rPr>
        <w:t>FFC Energy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27BCC2CA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6612A7">
        <w:rPr>
          <w:rFonts w:ascii="Poppins" w:eastAsia="Calibri" w:hAnsi="Poppins" w:cs="Poppins"/>
          <w:color w:val="3A3A3A"/>
          <w:sz w:val="19"/>
          <w:szCs w:val="19"/>
        </w:rPr>
        <w:t>FFC Energy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612A7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219</Words>
  <Characters>1252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