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C4A863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36EEE825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BFE7E5" w:rsidR="00240098" w:rsidRDefault="00A2201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</w:p>
    <w:p w14:paraId="04C3DDFA" w14:textId="59343248" w:rsidR="00FD4F09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87B634E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22015">
        <w:rPr>
          <w:rFonts w:ascii="Poppins" w:eastAsia="Calibri" w:hAnsi="Poppins" w:cs="Poppins"/>
          <w:b/>
          <w:bCs/>
          <w:color w:val="0B2545"/>
          <w:sz w:val="19"/>
          <w:szCs w:val="19"/>
        </w:rPr>
        <w:t>Foundation Wind Energy-I Ltd</w:t>
      </w:r>
    </w:p>
    <w:p w14:paraId="344F4652" w14:textId="41347A7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5D328A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22015">
        <w:rPr>
          <w:rFonts w:ascii="Poppins" w:hAnsi="Poppins" w:cs="Poppins"/>
          <w:sz w:val="19"/>
          <w:szCs w:val="19"/>
        </w:rPr>
        <w:t>Foundation Wind Energy-I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A6590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201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