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8722FCA" w:rsidR="00831EA1" w:rsidRPr="00240098" w:rsidRDefault="000F341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4567C4AE" w:rsidR="00831EA1" w:rsidRPr="00240098" w:rsidRDefault="000F34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7FAA576" w:rsidR="00240098" w:rsidRDefault="000F341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</w:p>
    <w:p w14:paraId="04C3DDFA" w14:textId="76CFB4A6" w:rsidR="00FD4F09" w:rsidRDefault="000F34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2FB8DE9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0F3413">
        <w:rPr>
          <w:rFonts w:ascii="Poppins" w:eastAsia="Calibri" w:hAnsi="Poppins" w:cs="Poppins"/>
          <w:b/>
          <w:bCs/>
          <w:color w:val="0B2545"/>
          <w:sz w:val="19"/>
          <w:szCs w:val="19"/>
        </w:rPr>
        <w:t>Foundation Wind Energy-II Ltd</w:t>
      </w:r>
    </w:p>
    <w:p w14:paraId="344F4652" w14:textId="07895A6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DEB37C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0F3413">
        <w:rPr>
          <w:rFonts w:ascii="Poppins" w:hAnsi="Poppins" w:cs="Poppins"/>
          <w:sz w:val="19"/>
          <w:szCs w:val="19"/>
        </w:rPr>
        <w:t>Foundation Wind Energy-II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0D51AA5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3413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