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F594EBE" w:rsidR="00831EA1" w:rsidRPr="00240098" w:rsidRDefault="00256313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Engr. Muhammad Ayub</w:t>
      </w:r>
    </w:p>
    <w:p w14:paraId="06549A75" w14:textId="4678F5D5" w:rsidR="00831EA1" w:rsidRPr="00240098" w:rsidRDefault="0025631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B50B0F4" w:rsidR="00240098" w:rsidRDefault="00256313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GEPCO</w:t>
      </w:r>
    </w:p>
    <w:p w14:paraId="04C3DDFA" w14:textId="0ECC866C" w:rsidR="00FD4F09" w:rsidRDefault="0025631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565-A, Model Town, GT Road, Gujranwala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4A17434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256313">
        <w:rPr>
          <w:rFonts w:ascii="Poppins" w:eastAsia="Calibri" w:hAnsi="Poppins" w:cs="Poppins"/>
          <w:b/>
          <w:bCs/>
          <w:color w:val="0B2545"/>
          <w:sz w:val="19"/>
          <w:szCs w:val="19"/>
        </w:rPr>
        <w:t>GEPCO</w:t>
      </w:r>
    </w:p>
    <w:p w14:paraId="344F4652" w14:textId="4E145DB8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56313">
        <w:rPr>
          <w:rFonts w:ascii="Poppins" w:eastAsia="Calibri" w:hAnsi="Poppins" w:cs="Poppins"/>
          <w:color w:val="3A3A3A"/>
          <w:sz w:val="19"/>
          <w:szCs w:val="19"/>
        </w:rPr>
        <w:t>Engr. Muhammad Ayub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5232BB1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256313">
        <w:rPr>
          <w:rFonts w:ascii="Poppins" w:hAnsi="Poppins" w:cs="Poppins"/>
          <w:sz w:val="19"/>
          <w:szCs w:val="19"/>
        </w:rPr>
        <w:t>GEPCO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11CB7E7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56313">
        <w:rPr>
          <w:rFonts w:ascii="Poppins" w:eastAsia="Calibri" w:hAnsi="Poppins" w:cs="Poppins"/>
          <w:color w:val="3A3A3A"/>
          <w:sz w:val="19"/>
          <w:szCs w:val="19"/>
        </w:rPr>
        <w:t>GEPCO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56313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