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A9A4A40" w:rsidR="00831EA1" w:rsidRPr="00240098" w:rsidRDefault="004613C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Rana Uzair Nasim</w:t>
      </w:r>
    </w:p>
    <w:p w14:paraId="06549A75" w14:textId="6795989B" w:rsidR="00831EA1" w:rsidRPr="00240098" w:rsidRDefault="004613C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15BEDC3" w:rsidR="00240098" w:rsidRDefault="004613C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Gharo Solar Ltd</w:t>
      </w:r>
    </w:p>
    <w:p w14:paraId="04C3DDFA" w14:textId="761433FD" w:rsidR="00FD4F09" w:rsidRDefault="004613C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MB 300, Phase 6 DHA,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93C46EF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4613CC">
        <w:rPr>
          <w:rFonts w:ascii="Poppins" w:eastAsia="Calibri" w:hAnsi="Poppins" w:cs="Poppins"/>
          <w:b/>
          <w:bCs/>
          <w:color w:val="0B2545"/>
          <w:sz w:val="19"/>
          <w:szCs w:val="19"/>
        </w:rPr>
        <w:t>Gharo Solar Ltd</w:t>
      </w:r>
    </w:p>
    <w:p w14:paraId="344F4652" w14:textId="332D180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613CC">
        <w:rPr>
          <w:rFonts w:ascii="Poppins" w:eastAsia="Calibri" w:hAnsi="Poppins" w:cs="Poppins"/>
          <w:color w:val="3A3A3A"/>
          <w:sz w:val="19"/>
          <w:szCs w:val="19"/>
        </w:rPr>
        <w:t>Rana Uzair Nasim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D64C515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4613CC">
        <w:rPr>
          <w:rFonts w:ascii="Poppins" w:hAnsi="Poppins" w:cs="Poppins"/>
          <w:sz w:val="19"/>
          <w:szCs w:val="19"/>
        </w:rPr>
        <w:t>Gharo Solar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095743B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613CC">
        <w:rPr>
          <w:rFonts w:ascii="Poppins" w:eastAsia="Calibri" w:hAnsi="Poppins" w:cs="Poppins"/>
          <w:color w:val="3A3A3A"/>
          <w:sz w:val="19"/>
          <w:szCs w:val="19"/>
        </w:rPr>
        <w:t>Gharo Solar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613C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