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49F17A9" w:rsidR="00831EA1" w:rsidRPr="00240098" w:rsidRDefault="00966FB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Mr. Li Xin</w:t>
      </w:r>
    </w:p>
    <w:p w14:paraId="06549A75" w14:textId="6DF9B4D3" w:rsidR="00831EA1" w:rsidRPr="00240098" w:rsidRDefault="00966FB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52EA6E6" w:rsidR="00240098" w:rsidRDefault="00966FB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huanengShandong Ruyi Pvt</w:t>
      </w:r>
    </w:p>
    <w:p w14:paraId="04C3DDFA" w14:textId="66CCA492" w:rsidR="00FD4F09" w:rsidRDefault="00966FB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No.105, Street 10, Block H, Phase 5, DHA,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6D83785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966FB2">
        <w:rPr>
          <w:rFonts w:ascii="Poppins" w:eastAsia="Calibri" w:hAnsi="Poppins" w:cs="Poppins"/>
          <w:b/>
          <w:bCs/>
          <w:color w:val="0B2545"/>
          <w:sz w:val="19"/>
          <w:szCs w:val="19"/>
        </w:rPr>
        <w:t>huanengShandong Ruyi Pvt</w:t>
      </w:r>
    </w:p>
    <w:p w14:paraId="344F4652" w14:textId="0010996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66FB2">
        <w:rPr>
          <w:rFonts w:ascii="Poppins" w:eastAsia="Calibri" w:hAnsi="Poppins" w:cs="Poppins"/>
          <w:color w:val="3A3A3A"/>
          <w:sz w:val="19"/>
          <w:szCs w:val="19"/>
        </w:rPr>
        <w:t>Mr. Li Xin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F8AAA5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966FB2">
        <w:rPr>
          <w:rFonts w:ascii="Poppins" w:hAnsi="Poppins" w:cs="Poppins"/>
          <w:sz w:val="19"/>
          <w:szCs w:val="19"/>
        </w:rPr>
        <w:t>huanengShandong Ruyi Pvt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674B087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66FB2">
        <w:rPr>
          <w:rFonts w:ascii="Poppins" w:eastAsia="Calibri" w:hAnsi="Poppins" w:cs="Poppins"/>
          <w:color w:val="3A3A3A"/>
          <w:sz w:val="19"/>
          <w:szCs w:val="19"/>
        </w:rPr>
        <w:t>huanengShandong Ruyi Pvt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66FB2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