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36612B" w:rsidR="00831EA1" w:rsidRPr="00240098" w:rsidRDefault="00AE142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7E777C" w:rsidR="00831EA1" w:rsidRPr="00240098" w:rsidRDefault="00AE142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</w:p>
    <w:p w14:paraId="31D70B49" w14:textId="1EFA5C4E" w:rsidR="00240098" w:rsidRDefault="00AE142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18th Floor, B.R.R. Tower, Hassan Ali Street, off I.I. Chundrigar Road, Karachi 74000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DF6133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E142B">
        <w:rPr>
          <w:rFonts w:ascii="Poppins" w:eastAsia="Calibri" w:hAnsi="Poppins" w:cs="Poppins"/>
          <w:b/>
          <w:bCs/>
          <w:color w:val="0B2545"/>
          <w:sz w:val="19"/>
          <w:szCs w:val="19"/>
        </w:rPr>
        <w:t>Hydro China Dawood Company</w:t>
      </w:r>
    </w:p>
    <w:p w14:paraId="344F4652" w14:textId="4868E03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99F960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E142B">
        <w:rPr>
          <w:rFonts w:ascii="Poppins" w:hAnsi="Poppins" w:cs="Poppins"/>
          <w:sz w:val="19"/>
          <w:szCs w:val="19"/>
        </w:rPr>
        <w:t>Hydro China Dawood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FA015B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E142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