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7EE5414" w:rsidR="00831EA1" w:rsidRPr="00240098" w:rsidRDefault="008E5749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Syed Muhammad Taha</w:t>
      </w:r>
    </w:p>
    <w:p w14:paraId="06549A75" w14:textId="1F1960F0" w:rsidR="00831EA1" w:rsidRPr="00240098" w:rsidRDefault="008E574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EFB8979" w:rsidR="00240098" w:rsidRDefault="008E5749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K-Electric</w:t>
      </w:r>
    </w:p>
    <w:p w14:paraId="04C3DDFA" w14:textId="33C9D95E" w:rsidR="00FD4F09" w:rsidRDefault="008E5749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KE House, 39-B, Sunset Boulevard, Phase-II, Defence Housing Authority, Karachi 75500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5183E46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8E5749">
        <w:rPr>
          <w:rFonts w:ascii="Poppins" w:eastAsia="Calibri" w:hAnsi="Poppins" w:cs="Poppins"/>
          <w:b/>
          <w:bCs/>
          <w:color w:val="0B2545"/>
          <w:sz w:val="19"/>
          <w:szCs w:val="19"/>
        </w:rPr>
        <w:t>K-Electric</w:t>
      </w:r>
    </w:p>
    <w:p w14:paraId="344F4652" w14:textId="5FA38FEB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E5749">
        <w:rPr>
          <w:rFonts w:ascii="Poppins" w:eastAsia="Calibri" w:hAnsi="Poppins" w:cs="Poppins"/>
          <w:color w:val="3A3A3A"/>
          <w:sz w:val="19"/>
          <w:szCs w:val="19"/>
        </w:rPr>
        <w:t>Syed Muhammad Taha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0A34A35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8E5749">
        <w:rPr>
          <w:rFonts w:ascii="Poppins" w:hAnsi="Poppins" w:cs="Poppins"/>
          <w:sz w:val="19"/>
          <w:szCs w:val="19"/>
        </w:rPr>
        <w:t>K-Electric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4C51C60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E5749">
        <w:rPr>
          <w:rFonts w:ascii="Poppins" w:eastAsia="Calibri" w:hAnsi="Poppins" w:cs="Poppins"/>
          <w:color w:val="3A3A3A"/>
          <w:sz w:val="19"/>
          <w:szCs w:val="19"/>
        </w:rPr>
        <w:t>K-Electric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E5749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