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04DB242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Mahmood Akhtar</w:t>
      </w:r>
    </w:p>
    <w:p w14:paraId="06549A75" w14:textId="7ADBE39A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B930BDC" w:rsidR="00240098" w:rsidRDefault="00F7307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Lalpir Power Ltd</w:t>
      </w:r>
    </w:p>
    <w:p w14:paraId="04C3DDFA" w14:textId="179A7EC9" w:rsidR="00FD4F09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1B68911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F73071">
        <w:rPr>
          <w:rFonts w:ascii="Poppins" w:eastAsia="Calibri" w:hAnsi="Poppins" w:cs="Poppins"/>
          <w:b/>
          <w:bCs/>
          <w:color w:val="0B2545"/>
          <w:sz w:val="19"/>
          <w:szCs w:val="19"/>
        </w:rPr>
        <w:t>Lalpir Power Ltd</w:t>
      </w:r>
    </w:p>
    <w:p w14:paraId="344F4652" w14:textId="7637B37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Mahmood Akhtar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1DD1DF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F73071">
        <w:rPr>
          <w:rFonts w:ascii="Poppins" w:hAnsi="Poppins" w:cs="Poppins"/>
          <w:sz w:val="19"/>
          <w:szCs w:val="19"/>
        </w:rPr>
        <w:t>Lalpir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832D11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Lalpir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7307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