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B6B8776" w:rsidR="00831EA1" w:rsidRPr="00240098" w:rsidRDefault="00DB2FA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Park Changhark</w:t>
      </w:r>
    </w:p>
    <w:p w14:paraId="06549A75" w14:textId="0D84FB17" w:rsidR="00831EA1" w:rsidRPr="00240098" w:rsidRDefault="00DB2FA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3F88FCB" w:rsidR="00240098" w:rsidRDefault="00DB2FA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Mira Power Ltd</w:t>
      </w:r>
    </w:p>
    <w:p w14:paraId="04C3DDFA" w14:textId="182D94A6" w:rsidR="00FD4F09" w:rsidRDefault="00DB2FA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Mezzanine Floor, 15-E Rehmat Centre, Jinnah Avenue, Blue Area,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A401EDD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DB2FA9">
        <w:rPr>
          <w:rFonts w:ascii="Poppins" w:eastAsia="Calibri" w:hAnsi="Poppins" w:cs="Poppins"/>
          <w:b/>
          <w:bCs/>
          <w:color w:val="0B2545"/>
          <w:sz w:val="19"/>
          <w:szCs w:val="19"/>
        </w:rPr>
        <w:t>Mira Power Ltd</w:t>
      </w:r>
    </w:p>
    <w:p w14:paraId="344F4652" w14:textId="5F39DEF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B2FA9">
        <w:rPr>
          <w:rFonts w:ascii="Poppins" w:eastAsia="Calibri" w:hAnsi="Poppins" w:cs="Poppins"/>
          <w:color w:val="3A3A3A"/>
          <w:sz w:val="19"/>
          <w:szCs w:val="19"/>
        </w:rPr>
        <w:t>Park Changhark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FDEDCA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DB2FA9">
        <w:rPr>
          <w:rFonts w:ascii="Poppins" w:hAnsi="Poppins" w:cs="Poppins"/>
          <w:sz w:val="19"/>
          <w:szCs w:val="19"/>
        </w:rPr>
        <w:t>Mira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3E492A7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B2FA9">
        <w:rPr>
          <w:rFonts w:ascii="Poppins" w:eastAsia="Calibri" w:hAnsi="Poppins" w:cs="Poppins"/>
          <w:color w:val="3A3A3A"/>
          <w:sz w:val="19"/>
          <w:szCs w:val="19"/>
        </w:rPr>
        <w:t>Mira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DB2FA9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226</Words>
  <Characters>1291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