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B08531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Farrukh Ifzal</w:t>
      </w:r>
    </w:p>
    <w:p w14:paraId="06549A75" w14:textId="2695F339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F0BA8" w:rsidR="00240098" w:rsidRDefault="005B02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</w:p>
    <w:p w14:paraId="04C3DDFA" w14:textId="356DA522" w:rsidR="00FD4F09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Nishat House, 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9D752B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5B02AB">
        <w:rPr>
          <w:rFonts w:ascii="Poppins" w:eastAsia="Calibri" w:hAnsi="Poppins" w:cs="Poppins"/>
          <w:b/>
          <w:bCs/>
          <w:color w:val="0B2545"/>
          <w:sz w:val="19"/>
          <w:szCs w:val="19"/>
        </w:rPr>
        <w:t>Nishat Chunian Power Ltd</w:t>
      </w:r>
    </w:p>
    <w:p w14:paraId="344F4652" w14:textId="337D017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Farrukh Ifzal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7FEC6F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5B02AB">
        <w:rPr>
          <w:rFonts w:ascii="Poppins" w:hAnsi="Poppins" w:cs="Poppins"/>
          <w:sz w:val="19"/>
          <w:szCs w:val="19"/>
        </w:rPr>
        <w:t>Nishat Chunian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F984B6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02AB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