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405AA49" w:rsidR="00831EA1" w:rsidRPr="00240098" w:rsidRDefault="000245F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Dr. Rana Abdul Jabbar Khan</w:t>
      </w:r>
    </w:p>
    <w:p w14:paraId="06549A75" w14:textId="57451BE1" w:rsidR="00831EA1" w:rsidRPr="00240098" w:rsidRDefault="000245F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38E41E6" w:rsidR="00240098" w:rsidRDefault="000245F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Quaid-e-Azam Thermal Power Pvt Ltd</w:t>
      </w:r>
    </w:p>
    <w:p w14:paraId="04C3DDFA" w14:textId="5B6BCAA3" w:rsidR="00FD4F09" w:rsidRDefault="000245F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First Floor, 7/C-1, Gulberg III,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41216CD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0245F9">
        <w:rPr>
          <w:rFonts w:ascii="Poppins" w:eastAsia="Calibri" w:hAnsi="Poppins" w:cs="Poppins"/>
          <w:b/>
          <w:bCs/>
          <w:color w:val="0B2545"/>
          <w:sz w:val="19"/>
          <w:szCs w:val="19"/>
        </w:rPr>
        <w:t>Quaid-e-Azam Thermal Power Pvt Ltd</w:t>
      </w:r>
    </w:p>
    <w:p w14:paraId="344F4652" w14:textId="1BF7BBB7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0245F9">
        <w:rPr>
          <w:rFonts w:ascii="Poppins" w:eastAsia="Calibri" w:hAnsi="Poppins" w:cs="Poppins"/>
          <w:color w:val="3A3A3A"/>
          <w:sz w:val="19"/>
          <w:szCs w:val="19"/>
        </w:rPr>
        <w:t>Dr. Rana Abdul Jabbar Khan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3C2F001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0245F9">
        <w:rPr>
          <w:rFonts w:ascii="Poppins" w:hAnsi="Poppins" w:cs="Poppins"/>
          <w:sz w:val="19"/>
          <w:szCs w:val="19"/>
        </w:rPr>
        <w:t>Quaid-e-Azam Thermal Power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41502FE9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0245F9">
        <w:rPr>
          <w:rFonts w:ascii="Poppins" w:eastAsia="Calibri" w:hAnsi="Poppins" w:cs="Poppins"/>
          <w:color w:val="3A3A3A"/>
          <w:sz w:val="19"/>
          <w:szCs w:val="19"/>
        </w:rPr>
        <w:t>Quaid-e-Azam Thermal Power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245F9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237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