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20035C1" w:rsidR="00831EA1" w:rsidRPr="00240098" w:rsidRDefault="00F940C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Zahid Mir</w:t>
      </w:r>
    </w:p>
    <w:p w14:paraId="06549A75" w14:textId="7BADEC72" w:rsidR="00831EA1" w:rsidRPr="00240098" w:rsidRDefault="00F940C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2A15015" w:rsidR="00240098" w:rsidRDefault="00F940C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UCH Power Pvt Ltd</w:t>
      </w:r>
    </w:p>
    <w:p w14:paraId="04C3DDFA" w14:textId="24950D68" w:rsidR="00FD4F09" w:rsidRDefault="00F940C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House No. 48, Khayaban-e-Iqbal, Main Margalla Road, F-7/2,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E4630F8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F940C2">
        <w:rPr>
          <w:rFonts w:ascii="Poppins" w:eastAsia="Calibri" w:hAnsi="Poppins" w:cs="Poppins"/>
          <w:b/>
          <w:bCs/>
          <w:color w:val="0B2545"/>
          <w:sz w:val="19"/>
          <w:szCs w:val="19"/>
        </w:rPr>
        <w:t>UCH Power Pvt Ltd</w:t>
      </w:r>
    </w:p>
    <w:p w14:paraId="344F4652" w14:textId="4D2C744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F940C2">
        <w:rPr>
          <w:rFonts w:ascii="Poppins" w:eastAsia="Calibri" w:hAnsi="Poppins" w:cs="Poppins"/>
          <w:color w:val="3A3A3A"/>
          <w:sz w:val="19"/>
          <w:szCs w:val="19"/>
        </w:rPr>
        <w:t>Zahid Mir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E18E7EA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F940C2">
        <w:rPr>
          <w:rFonts w:ascii="Poppins" w:hAnsi="Poppins" w:cs="Poppins"/>
          <w:sz w:val="19"/>
          <w:szCs w:val="19"/>
        </w:rPr>
        <w:t>UCH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281748A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F940C2">
        <w:rPr>
          <w:rFonts w:ascii="Poppins" w:eastAsia="Calibri" w:hAnsi="Poppins" w:cs="Poppins"/>
          <w:color w:val="3A3A3A"/>
          <w:sz w:val="19"/>
          <w:szCs w:val="19"/>
        </w:rPr>
        <w:t>UCH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940C2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