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5BFF"/>
          <w:sz w:val="20"/>
          <w:szCs w:val="20"/>
        </w:rPr>
        <w:t xml:space="preserve">xLoop Digital  ·  xSecurity</w:t>
      </w:r>
    </w:p>
    <w:p>
      <w:pPr>
        <w:pStyle w:val="Title"/>
      </w:pPr>
      <w:r>
        <w:t xml:space="preserve">xSecurity Navigation + NEPRA / OT Security Brief</w:t>
      </w:r>
    </w:p>
    <w:p>
      <w:pPr>
        <w:spacing w:after="120"/>
      </w:pPr>
      <w:r>
        <w:rPr>
          <w:color w:val="5A6472"/>
        </w:rPr>
        <w:t xml:space="preserve">Dev &amp; design handoff  ·  v1.2  ·  2 October 2026  ·  Owner: Sana Qazi</w:t>
      </w:r>
    </w:p>
    <w:p>
      <w:pPr>
        <w:spacing w:after="120"/>
      </w:pPr>
      <w:r>
        <w:rPr>
          <w:color w:val="5A6472"/>
          <w:sz w:val="19"/>
          <w:szCs w:val="19"/>
        </w:rPr>
        <w:t xml:space="preserve">Based on the live site, checked 1 Oct 2026: </w:t>
      </w:r>
      <w:r>
        <w:rPr>
          <w:rFonts w:ascii="Consolas" w:cs="Consolas" w:eastAsia="Consolas" w:hAnsi="Consolas"/>
          <w:color w:val="5A6472"/>
          <w:sz w:val="19"/>
          <w:szCs w:val="19"/>
        </w:rPr>
        <w:t xml:space="preserve">/</w:t>
      </w:r>
      <w:r>
        <w:rPr>
          <w:color w:val="5A6472"/>
          <w:sz w:val="19"/>
          <w:szCs w:val="19"/>
        </w:rPr>
        <w:t xml:space="preserve">, </w:t>
      </w:r>
      <w:r>
        <w:rPr>
          <w:rFonts w:ascii="Consolas" w:cs="Consolas" w:eastAsia="Consolas" w:hAnsi="Consolas"/>
          <w:color w:val="5A6472"/>
          <w:sz w:val="19"/>
          <w:szCs w:val="19"/>
        </w:rPr>
        <w:t xml:space="preserve">/services/cyber-security-service</w:t>
      </w:r>
      <w:r>
        <w:rPr>
          <w:color w:val="5A6472"/>
          <w:sz w:val="19"/>
          <w:szCs w:val="19"/>
        </w:rPr>
        <w:t xml:space="preserve">, </w:t>
      </w:r>
      <w:r>
        <w:rPr>
          <w:rFonts w:ascii="Consolas" w:cs="Consolas" w:eastAsia="Consolas" w:hAnsi="Consolas"/>
          <w:color w:val="5A6472"/>
          <w:sz w:val="19"/>
          <w:szCs w:val="19"/>
        </w:rPr>
        <w:t xml:space="preserve">/services/ai-security-service</w:t>
      </w:r>
      <w:r>
        <w:rPr>
          <w:color w:val="5A6472"/>
          <w:sz w:val="19"/>
          <w:szCs w:val="19"/>
        </w:rPr>
        <w:t xml:space="preserve">, </w:t>
      </w:r>
      <w:r>
        <w:rPr>
          <w:rFonts w:ascii="Consolas" w:cs="Consolas" w:eastAsia="Consolas" w:hAnsi="Consolas"/>
          <w:color w:val="5A6472"/>
          <w:sz w:val="19"/>
          <w:szCs w:val="19"/>
        </w:rPr>
        <w:t xml:space="preserve">/services/nepra</w:t>
      </w:r>
      <w:r>
        <w:rPr>
          <w:color w:val="5A6472"/>
          <w:sz w:val="19"/>
          <w:szCs w:val="19"/>
        </w:rPr>
        <w:t xml:space="preserve">, </w:t>
      </w:r>
      <w:r>
        <w:rPr>
          <w:rFonts w:ascii="Consolas" w:cs="Consolas" w:eastAsia="Consolas" w:hAnsi="Consolas"/>
          <w:color w:val="5A6472"/>
          <w:sz w:val="19"/>
          <w:szCs w:val="19"/>
        </w:rPr>
        <w:t xml:space="preserve">/industries/energy-and-utilities</w:t>
      </w:r>
      <w:r>
        <w:rPr>
          <w:color w:val="5A6472"/>
          <w:sz w:val="19"/>
          <w:szCs w:val="19"/>
        </w:rPr>
        <w:t xml:space="preserve">, </w:t>
      </w:r>
      <w:r>
        <w:rPr>
          <w:rFonts w:ascii="Consolas" w:cs="Consolas" w:eastAsia="Consolas" w:hAnsi="Consolas"/>
          <w:color w:val="5A6472"/>
          <w:sz w:val="19"/>
          <w:szCs w:val="19"/>
        </w:rPr>
        <w:t xml:space="preserve">/llms.txt</w:t>
      </w:r>
      <w:r>
        <w:rPr>
          <w:color w:val="5A6472"/>
          <w:sz w:val="19"/>
          <w:szCs w:val="19"/>
        </w:rPr>
        <w:t xml:space="preserve">.</w:t>
      </w:r>
    </w:p>
    <w:p>
      <w:pPr>
        <w:pStyle w:val="Heading2"/>
      </w:pPr>
      <w:r>
        <w:t xml:space="preserve">Summary</w:t>
      </w:r>
    </w:p>
    <w:p>
      <w:pPr>
        <w:pStyle w:val="ListParagraph"/>
        <w:numPr>
          <w:ilvl w:val="0"/>
          <w:numId w:val="2"/>
        </w:numPr>
        <w:spacing w:after="80"/>
      </w:pPr>
      <w:r>
        <w:rPr>
          <w:b/>
          <w:bCs/>
        </w:rPr>
        <w:t xml:space="preserve">Add NEPRA to the xSecurity mega menu</w:t>
      </w:r>
      <w:r>
        <w:t xml:space="preserve"> as the third service: "NEPRA IT/OT Compliance".</w:t>
      </w:r>
    </w:p>
    <w:p>
      <w:pPr>
        <w:pStyle w:val="ListParagraph"/>
        <w:numPr>
          <w:ilvl w:val="0"/>
          <w:numId w:val="2"/>
        </w:numPr>
        <w:spacing w:after="80"/>
      </w:pPr>
      <w:r>
        <w:rPr>
          <w:b/>
          <w:bCs/>
        </w:rPr>
        <w:t xml:space="preserve">NEPRA becomes a sibling of Cybersecurity and AI Security.</w:t>
      </w:r>
      <w:r>
        <w:t xml:space="preserve"> No standalone OT Security page yet; OT goes on the Cybersecurity page as a service card, and the Energy &amp; Utilities industry card links to NEPRA.</w:t>
      </w:r>
    </w:p>
    <w:p>
      <w:pPr>
        <w:pStyle w:val="ListParagraph"/>
        <w:numPr>
          <w:ilvl w:val="0"/>
          <w:numId w:val="2"/>
        </w:numPr>
        <w:spacing w:after="80"/>
      </w:pPr>
      <w:r>
        <w:rPr>
          <w:b/>
          <w:bCs/>
        </w:rPr>
        <w:t xml:space="preserve">Fix the Cybersecurity page first.</w:t>
      </w:r>
      <w:r>
        <w:t xml:space="preserve"> Its title, meta and hero target AI security, so it competes with our own AI Security page.</w:t>
      </w:r>
    </w:p>
    <w:p>
      <w:pPr>
        <w:pStyle w:val="ListParagraph"/>
        <w:numPr>
          <w:ilvl w:val="0"/>
          <w:numId w:val="2"/>
        </w:numPr>
        <w:spacing w:after="80"/>
      </w:pPr>
      <w:r>
        <w:rPr>
          <w:b/>
          <w:bCs/>
        </w:rPr>
        <w:t xml:space="preserve">Fix the NEPRA page before the nav link goes live.</w:t>
      </w:r>
      <w:r>
        <w:t xml:space="preserve"> It still says Regulations 4–11, uses British spelling, and is missing its schema.</w:t>
      </w:r>
    </w:p>
    <w:p>
      <w:pPr>
        <w:keepNext/>
        <w:spacing w:after="40" w:before="200"/>
      </w:pPr>
      <w:r>
        <w:rPr>
          <w:b/>
          <w:bCs/>
          <w:color w:val="1E5BFF"/>
          <w:spacing w:val="20"/>
          <w:sz w:val="17"/>
          <w:szCs w:val="17"/>
        </w:rPr>
        <w:t xml:space="preserve">WHAT CHANGED IN V1.2 (2 OCT)</w:t>
      </w:r>
    </w:p>
    <w:p>
      <w:pPr>
        <w:pStyle w:val="ListParagraph"/>
        <w:numPr>
          <w:ilvl w:val="0"/>
          <w:numId w:val="2"/>
        </w:numPr>
        <w:spacing w:after="80"/>
      </w:pPr>
      <w:r>
        <w:rPr>
          <w:b/>
          <w:bCs/>
        </w:rPr>
        <w:t xml:space="preserve">Industry card:</w:t>
      </w:r>
      <w:r>
        <w:t xml:space="preserve"> "Power &amp; Energy" is now </w:t>
      </w:r>
      <w:r>
        <w:rPr>
          <w:b/>
          <w:bCs/>
        </w:rPr>
        <w:t xml:space="preserve">Energy &amp; Utilities</w:t>
      </w:r>
      <w:r>
        <w:t xml:space="preserve">. It keeps oil and gas coverage and matches the existing Energy &amp; Utilities industry page. NEPRA is tied to the power sector only.</w:t>
      </w:r>
    </w:p>
    <w:p>
      <w:pPr>
        <w:keepNext/>
        <w:spacing w:after="40" w:before="200"/>
      </w:pPr>
      <w:r>
        <w:rPr>
          <w:b/>
          <w:bCs/>
          <w:color w:val="1E5BFF"/>
          <w:spacing w:val="20"/>
          <w:sz w:val="17"/>
          <w:szCs w:val="17"/>
        </w:rPr>
        <w:t xml:space="preserve">WHAT CHANGED IN V1.1 (2 OCT, AFTER DESIGN + DEV REVIEW)</w:t>
      </w:r>
    </w:p>
    <w:p>
      <w:pPr>
        <w:pStyle w:val="ListParagraph"/>
        <w:numPr>
          <w:ilvl w:val="0"/>
          <w:numId w:val="2"/>
        </w:numPr>
        <w:spacing w:after="80"/>
      </w:pPr>
      <w:r>
        <w:rPr>
          <w:b/>
          <w:bCs/>
        </w:rPr>
        <w:t xml:space="preserve">OT &amp; SCADA card:</w:t>
      </w:r>
      <w:r>
        <w:t xml:space="preserve"> now hover text (10 words). The NEPRA link moved to the industry card (now Energy &amp; Utilities).</w:t>
      </w:r>
    </w:p>
    <w:p>
      <w:pPr>
        <w:pStyle w:val="ListParagraph"/>
        <w:numPr>
          <w:ilvl w:val="0"/>
          <w:numId w:val="2"/>
        </w:numPr>
        <w:spacing w:after="80"/>
      </w:pPr>
      <w:r>
        <w:rPr>
          <w:b/>
          <w:bCs/>
        </w:rPr>
        <w:t xml:space="preserve">Industry cards:</w:t>
      </w:r>
      <w:r>
        <w:t xml:space="preserve"> final copy for Telecom, Banking and the energy card replaces "rewrite or remove".</w:t>
      </w:r>
    </w:p>
    <w:p>
      <w:pPr>
        <w:pStyle w:val="ListParagraph"/>
        <w:numPr>
          <w:ilvl w:val="0"/>
          <w:numId w:val="2"/>
        </w:numPr>
        <w:spacing w:after="80"/>
      </w:pPr>
      <w:r>
        <w:rPr>
          <w:b/>
          <w:bCs/>
        </w:rPr>
        <w:t xml:space="preserve">NEPRA schema:</w:t>
      </w:r>
      <w:r>
        <w:t xml:space="preserve"> ready-to-paste JSON-LD in Appendix A replaces the August doc. Breadcrumb now goes through Cybersecurity Services.</w:t>
      </w:r>
    </w:p>
    <w:p>
      <w:pPr>
        <w:pStyle w:val="ListParagraph"/>
        <w:numPr>
          <w:ilvl w:val="0"/>
          <w:numId w:val="2"/>
        </w:numPr>
        <w:spacing w:after="80"/>
      </w:pPr>
      <w:r>
        <w:rPr>
          <w:b/>
          <w:bCs/>
        </w:rPr>
        <w:t xml:space="preserve">Footer:</w:t>
      </w:r>
      <w:r>
        <w:t xml:space="preserve"> Cybersecurity Services and NEPRA IT/OT Compliance go under Services.</w:t>
      </w:r>
    </w:p>
    <w:p>
      <w:pPr>
        <w:pStyle w:val="Heading1"/>
      </w:pPr>
      <w:r>
        <w:t xml:space="preserve">1. Mega menu item</w:t>
      </w:r>
    </w:p>
    <w:p>
      <w:pPr>
        <w:spacing w:after="120"/>
      </w:pPr>
      <w:r>
        <w:rPr>
          <w:b/>
          <w:bCs/>
        </w:rPr>
        <w:t xml:space="preserve">Where:</w:t>
      </w:r>
      <w:r>
        <w:t xml:space="preserve"> xSecurity mega menu, "Comprehensive Digital Protection" column, </w:t>
      </w:r>
      <w:r>
        <w:rPr>
          <w:b/>
          <w:bCs/>
        </w:rPr>
        <w:t xml:space="preserve">3rd item</w:t>
      </w:r>
      <w:r>
        <w:t xml:space="preserve"> after AI Security Services. Use the same component as the two items already there (icon + heading + one-line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Field</w:t>
            </w:r>
          </w:p>
        </w:tc>
        <w:tc>
          <w:tcPr>
            <w:tcW w:type="dxa" w:w="6426"/>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Content</w:t>
            </w:r>
          </w:p>
        </w:tc>
      </w:tr>
      <w:tr>
        <w:trPr>
          <w:cantSplit/>
          <w:tblHeader w:val="off"/>
        </w:trPr>
        <w:tc>
          <w:tcPr>
            <w:tcW w:type="dxa" w:w="26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Heading</w:t>
            </w:r>
          </w:p>
        </w:tc>
        <w:tc>
          <w:tcPr>
            <w:tcW w:type="dxa" w:w="6426"/>
            <w:tcBorders>
              <w:top w:val="single" w:color="C9D2E0" w:sz="4"/>
              <w:left w:val="single" w:color="C9D2E0" w:sz="4"/>
              <w:bottom w:val="single" w:color="C9D2E0" w:sz="4"/>
              <w:right w:val="single" w:color="C9D2E0" w:sz="4"/>
            </w:tcBorders>
            <w:tcMar>
              <w:top w:type="dxa" w:w="80"/>
              <w:left w:type="dxa" w:w="120"/>
              <w:bottom w:type="dxa" w:w="80"/>
              <w:right w:type="dxa" w:w="120"/>
            </w:tcMar>
          </w:tcPr>
          <w:p>
            <w:r>
              <w:rPr>
                <w:b/>
                <w:bCs/>
              </w:rPr>
              <w:t xml:space="preserve">NEPRA IT/OT Compliance</w:t>
            </w:r>
          </w:p>
        </w:tc>
      </w:tr>
      <w:tr>
        <w:trPr>
          <w:cantSplit/>
          <w:tblHeader w:val="off"/>
        </w:trPr>
        <w:tc>
          <w:tcPr>
            <w:tcW w:type="dxa" w:w="26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Description (7 words)</w:t>
            </w:r>
          </w:p>
        </w:tc>
        <w:tc>
          <w:tcPr>
            <w:tcW w:type="dxa" w:w="6426"/>
            <w:tcBorders>
              <w:top w:val="single" w:color="C9D2E0" w:sz="4"/>
              <w:left w:val="single" w:color="C9D2E0" w:sz="4"/>
              <w:bottom w:val="single" w:color="C9D2E0" w:sz="4"/>
              <w:right w:val="single" w:color="C9D2E0" w:sz="4"/>
            </w:tcBorders>
            <w:tcMar>
              <w:top w:type="dxa" w:w="80"/>
              <w:left w:type="dxa" w:w="120"/>
              <w:bottom w:type="dxa" w:w="80"/>
              <w:right w:type="dxa" w:w="120"/>
            </w:tcMar>
          </w:tcPr>
          <w:p>
            <w:r>
              <w:rPr>
                <w:b/>
                <w:bCs/>
              </w:rPr>
              <w:t xml:space="preserve">Audits, VAPT and training for power-sector licensees</w:t>
            </w:r>
          </w:p>
        </w:tc>
      </w:tr>
      <w:tr>
        <w:trPr>
          <w:cantSplit/>
          <w:tblHeader w:val="off"/>
        </w:trPr>
        <w:tc>
          <w:tcPr>
            <w:tcW w:type="dxa" w:w="26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Alternate description</w:t>
            </w:r>
          </w:p>
        </w:tc>
        <w:tc>
          <w:tcPr>
            <w:tcW w:type="dxa" w:w="64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IT/OT security compliance for Pakistan's power sector</w:t>
            </w:r>
          </w:p>
        </w:tc>
      </w:tr>
      <w:tr>
        <w:trPr>
          <w:cantSplit/>
          <w:tblHeader w:val="off"/>
        </w:trPr>
        <w:tc>
          <w:tcPr>
            <w:tcW w:type="dxa" w:w="26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Link</w:t>
            </w:r>
          </w:p>
        </w:tc>
        <w:tc>
          <w:tcPr>
            <w:tcW w:type="dxa" w:w="6426"/>
            <w:tcBorders>
              <w:top w:val="single" w:color="C9D2E0" w:sz="4"/>
              <w:left w:val="single" w:color="C9D2E0" w:sz="4"/>
              <w:bottom w:val="single" w:color="C9D2E0" w:sz="4"/>
              <w:right w:val="single" w:color="C9D2E0" w:sz="4"/>
            </w:tcBorders>
            <w:tcMar>
              <w:top w:type="dxa" w:w="80"/>
              <w:left w:type="dxa" w:w="120"/>
              <w:bottom w:type="dxa" w:w="80"/>
              <w:right w:type="dxa" w:w="120"/>
            </w:tcMar>
          </w:tcPr>
          <w:p>
            <w:r>
              <w:rPr>
                <w:rFonts w:ascii="Consolas" w:cs="Consolas" w:eastAsia="Consolas" w:hAnsi="Consolas"/>
                <w:color w:val="0B1F3A"/>
                <w:sz w:val="19"/>
                <w:szCs w:val="19"/>
              </w:rPr>
              <w:t xml:space="preserve">/services/nepra</w:t>
            </w:r>
          </w:p>
        </w:tc>
      </w:tr>
      <w:tr>
        <w:trPr>
          <w:cantSplit/>
          <w:tblHeader w:val="off"/>
        </w:trPr>
        <w:tc>
          <w:tcPr>
            <w:tcW w:type="dxa" w:w="26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Link title / aria-label</w:t>
            </w:r>
          </w:p>
        </w:tc>
        <w:tc>
          <w:tcPr>
            <w:tcW w:type="dxa" w:w="64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NEPRA IT/OT compliance services for Pakistan's power sector</w:t>
            </w:r>
          </w:p>
        </w:tc>
      </w:tr>
      <w:tr>
        <w:trPr>
          <w:cantSplit/>
          <w:tblHeader w:val="off"/>
        </w:trPr>
        <w:tc>
          <w:tcPr>
            <w:tcW w:type="dxa" w:w="26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Icon</w:t>
            </w:r>
          </w:p>
        </w:tc>
        <w:tc>
          <w:tcPr>
            <w:tcW w:type="dxa" w:w="64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Same shield style as the other two items. Suggest a shield with a lightning bolt (power sector)</w:t>
            </w:r>
          </w:p>
        </w:tc>
      </w:tr>
      <w:tr>
        <w:trPr>
          <w:cantSplit/>
          <w:tblHeader w:val="off"/>
        </w:trPr>
        <w:tc>
          <w:tcPr>
            <w:tcW w:type="dxa" w:w="26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Mobile menu</w:t>
            </w:r>
          </w:p>
        </w:tc>
        <w:tc>
          <w:tcPr>
            <w:tcW w:type="dxa" w:w="64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Same item, same order, under xSecurity</w:t>
            </w:r>
          </w:p>
        </w:tc>
      </w:tr>
    </w:tbl>
    <w:p>
      <w:pPr>
        <w:keepNext/>
        <w:spacing w:after="40" w:before="200"/>
      </w:pPr>
      <w:r>
        <w:rPr>
          <w:b/>
          <w:bCs/>
          <w:color w:val="1E5BFF"/>
          <w:spacing w:val="20"/>
          <w:sz w:val="17"/>
          <w:szCs w:val="17"/>
        </w:rPr>
        <w:t xml:space="preserve">DESIGN NOTES</w:t>
      </w:r>
    </w:p>
    <w:p>
      <w:pPr>
        <w:pStyle w:val="ListParagraph"/>
        <w:numPr>
          <w:ilvl w:val="0"/>
          <w:numId w:val="2"/>
        </w:numPr>
        <w:spacing w:after="80"/>
      </w:pPr>
      <w:r>
        <w:t xml:space="preserve">The two existing descriptions run 10–11 words. A 7-word line will be shorter, which is fine. Don't pad it.</w:t>
      </w:r>
    </w:p>
    <w:p>
      <w:pPr>
        <w:pStyle w:val="ListParagraph"/>
        <w:numPr>
          <w:ilvl w:val="0"/>
          <w:numId w:val="2"/>
        </w:numPr>
        <w:spacing w:after="80"/>
      </w:pPr>
      <w:r>
        <w:t xml:space="preserve">Leave the right-hand promo cards as they are ("Book an AI Security Consultation", "AI Governance…"). The AI Security featured offer stays.</w:t>
      </w:r>
    </w:p>
    <w:p>
      <w:pPr>
        <w:pStyle w:val="ListParagraph"/>
        <w:numPr>
          <w:ilvl w:val="0"/>
          <w:numId w:val="2"/>
        </w:numPr>
        <w:spacing w:after="80"/>
      </w:pPr>
      <w:r>
        <w:t xml:space="preserve">Rename the nav heading </w:t>
      </w:r>
      <w:r>
        <w:rPr>
          <w:b/>
          <w:bCs/>
        </w:rPr>
        <w:t xml:space="preserve">"Cyber Security Services" → "Cybersecurity Services"</w:t>
      </w:r>
      <w:r>
        <w:t xml:space="preserve"> to match the page. Two spellings split the entity for search and AI engines. Keep the URL as it is.</w:t>
      </w:r>
    </w:p>
    <w:p>
      <w:pPr>
        <w:keepNext/>
        <w:spacing w:after="40" w:before="200"/>
      </w:pPr>
      <w:r>
        <w:rPr>
          <w:b/>
          <w:bCs/>
          <w:color w:val="1E5BFF"/>
          <w:spacing w:val="20"/>
          <w:sz w:val="17"/>
          <w:szCs w:val="17"/>
        </w:rPr>
        <w:t xml:space="preserve">DEV NOTE</w:t>
      </w:r>
    </w:p>
    <w:p>
      <w:pPr>
        <w:spacing w:after="120"/>
      </w:pPr>
      <w:r>
        <w:t xml:space="preserve">The </w:t>
      </w:r>
      <w:r>
        <w:rPr>
          <w:b/>
          <w:bCs/>
        </w:rPr>
        <w:t xml:space="preserve">xSecurity</w:t>
      </w:r>
      <w:r>
        <w:t xml:space="preserve"> top-level label currently links to </w:t>
      </w:r>
      <w:r>
        <w:rPr>
          <w:rFonts w:ascii="Consolas" w:cs="Consolas" w:eastAsia="Consolas" w:hAnsi="Consolas"/>
          <w:color w:val="0B1F3A"/>
          <w:sz w:val="19"/>
          <w:szCs w:val="19"/>
        </w:rPr>
        <w:t xml:space="preserve">/services/ai-security-service</w:t>
      </w:r>
      <w:r>
        <w:t xml:space="preserve">. Either make it a menu trigger only, or point it at the Cybersecurity page. Right now the security hub's own link goes to its narrowest page.</w:t>
      </w:r>
    </w:p>
    <w:p>
      <w:pPr>
        <w:pStyle w:val="Heading1"/>
      </w:pPr>
      <w:r>
        <w:t xml:space="preserve">2. Recommendation: architecture</w:t>
      </w:r>
    </w:p>
    <w:p>
      <w:pPr>
        <w:spacing w:after="120"/>
      </w:pPr>
      <w:r>
        <w:rPr>
          <w:b/>
          <w:bCs/>
        </w:rPr>
        <w:t xml:space="preserve">Yes, link it. NEPRA becomes the third xSecurity service, as a sibling.</w:t>
      </w:r>
      <w:r>
        <w:t xml:space="preserve"> Don't build a standalone OT Security page yet.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26"/>
        <w:gridCol w:w="2800"/>
      </w:tblGrid>
      <w:tr>
        <w:trPr>
          <w:cantSplit/>
          <w:tblHeader/>
        </w:trPr>
        <w:tc>
          <w:tcPr>
            <w:tcW w:type="dxa" w:w="2900"/>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xSecurity service</w:t>
            </w:r>
          </w:p>
        </w:tc>
        <w:tc>
          <w:tcPr>
            <w:tcW w:type="dxa" w:w="3326"/>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URL</w:t>
            </w:r>
          </w:p>
        </w:tc>
        <w:tc>
          <w:tcPr>
            <w:tcW w:type="dxa" w:w="2800"/>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Role</w:t>
            </w:r>
          </w:p>
        </w:tc>
      </w:tr>
      <w:tr>
        <w:trPr>
          <w:cantSplit/>
          <w:tblHeader w:val="off"/>
        </w:trPr>
        <w:tc>
          <w:tcPr>
            <w:tcW w:type="dxa" w:w="2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Cybersecurity Services</w:t>
            </w:r>
          </w:p>
        </w:tc>
        <w:tc>
          <w:tcPr>
            <w:tcW w:type="dxa" w:w="3326"/>
            <w:tcBorders>
              <w:top w:val="single" w:color="C9D2E0" w:sz="4"/>
              <w:left w:val="single" w:color="C9D2E0" w:sz="4"/>
              <w:bottom w:val="single" w:color="C9D2E0" w:sz="4"/>
              <w:right w:val="single" w:color="C9D2E0" w:sz="4"/>
            </w:tcBorders>
            <w:tcMar>
              <w:top w:type="dxa" w:w="80"/>
              <w:left w:type="dxa" w:w="120"/>
              <w:bottom w:type="dxa" w:w="80"/>
              <w:right w:type="dxa" w:w="120"/>
            </w:tcMar>
          </w:tcPr>
          <w:p>
            <w:r>
              <w:rPr>
                <w:rFonts w:ascii="Consolas" w:cs="Consolas" w:eastAsia="Consolas" w:hAnsi="Consolas"/>
                <w:color w:val="0B1F3A"/>
                <w:sz w:val="19"/>
                <w:szCs w:val="19"/>
              </w:rPr>
              <w:t xml:space="preserve">/services/cyber-security-service</w:t>
            </w:r>
          </w:p>
        </w:tc>
        <w:tc>
          <w:tcPr>
            <w:tcW w:type="dxa" w:w="28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Broad; gets a new OT &amp; SCADA Security card and links to NEPRA</w:t>
            </w:r>
          </w:p>
        </w:tc>
      </w:tr>
      <w:tr>
        <w:trPr>
          <w:cantSplit/>
          <w:tblHeader w:val="off"/>
        </w:trPr>
        <w:tc>
          <w:tcPr>
            <w:tcW w:type="dxa" w:w="2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AI Security Services</w:t>
            </w:r>
          </w:p>
        </w:tc>
        <w:tc>
          <w:tcPr>
            <w:tcW w:type="dxa" w:w="3326"/>
            <w:tcBorders>
              <w:top w:val="single" w:color="C9D2E0" w:sz="4"/>
              <w:left w:val="single" w:color="C9D2E0" w:sz="4"/>
              <w:bottom w:val="single" w:color="C9D2E0" w:sz="4"/>
              <w:right w:val="single" w:color="C9D2E0" w:sz="4"/>
            </w:tcBorders>
            <w:tcMar>
              <w:top w:type="dxa" w:w="80"/>
              <w:left w:type="dxa" w:w="120"/>
              <w:bottom w:type="dxa" w:w="80"/>
              <w:right w:type="dxa" w:w="120"/>
            </w:tcMar>
          </w:tcPr>
          <w:p>
            <w:r>
              <w:rPr>
                <w:rFonts w:ascii="Consolas" w:cs="Consolas" w:eastAsia="Consolas" w:hAnsi="Consolas"/>
                <w:color w:val="0B1F3A"/>
                <w:sz w:val="19"/>
                <w:szCs w:val="19"/>
              </w:rPr>
              <w:t xml:space="preserve">/services/ai-security-service</w:t>
            </w:r>
          </w:p>
        </w:tc>
        <w:tc>
          <w:tcPr>
            <w:tcW w:type="dxa" w:w="28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AI systems only</w:t>
            </w:r>
          </w:p>
        </w:tc>
      </w:tr>
      <w:tr>
        <w:trPr>
          <w:cantSplit/>
          <w:tblHeader w:val="off"/>
        </w:trPr>
        <w:tc>
          <w:tcPr>
            <w:tcW w:type="dxa" w:w="2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NEPRA IT/OT Compliance</w:t>
            </w:r>
          </w:p>
        </w:tc>
        <w:tc>
          <w:tcPr>
            <w:tcW w:type="dxa" w:w="3326"/>
            <w:tcBorders>
              <w:top w:val="single" w:color="C9D2E0" w:sz="4"/>
              <w:left w:val="single" w:color="C9D2E0" w:sz="4"/>
              <w:bottom w:val="single" w:color="C9D2E0" w:sz="4"/>
              <w:right w:val="single" w:color="C9D2E0" w:sz="4"/>
            </w:tcBorders>
            <w:tcMar>
              <w:top w:type="dxa" w:w="80"/>
              <w:left w:type="dxa" w:w="120"/>
              <w:bottom w:type="dxa" w:w="80"/>
              <w:right w:type="dxa" w:w="120"/>
            </w:tcMar>
          </w:tcPr>
          <w:p>
            <w:r>
              <w:rPr>
                <w:rFonts w:ascii="Consolas" w:cs="Consolas" w:eastAsia="Consolas" w:hAnsi="Consolas"/>
                <w:color w:val="0B1F3A"/>
                <w:sz w:val="19"/>
                <w:szCs w:val="19"/>
              </w:rPr>
              <w:t xml:space="preserve">/services/nepra</w:t>
            </w:r>
          </w:p>
        </w:tc>
        <w:tc>
          <w:tcPr>
            <w:tcW w:type="dxa" w:w="28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Pakistan power sector; the OT proof page</w:t>
            </w:r>
          </w:p>
        </w:tc>
      </w:tr>
    </w:tbl>
    <w:p>
      <w:pPr>
        <w:spacing w:after="120"/>
      </w:pPr>
    </w:p>
    <w:p>
      <w:pPr>
        <w:pStyle w:val="Heading3"/>
      </w:pPr>
      <w:r>
        <w:t xml:space="preserve">Keyword ownership (prevents cannibalization)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cantSplit/>
          <w:tblHeader/>
        </w:trPr>
        <w:tc>
          <w:tcPr>
            <w:tcW w:type="dxa" w:w="1900"/>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Page</w:t>
            </w:r>
          </w:p>
        </w:tc>
        <w:tc>
          <w:tcPr>
            <w:tcW w:type="dxa" w:w="3900"/>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Owns</w:t>
            </w:r>
          </w:p>
        </w:tc>
        <w:tc>
          <w:tcPr>
            <w:tcW w:type="dxa" w:w="3226"/>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Must NOT target</w:t>
            </w:r>
          </w:p>
        </w:tc>
      </w:tr>
      <w:tr>
        <w:trPr>
          <w:cantSplit/>
          <w:tblHeader w:val="off"/>
        </w:trPr>
        <w:tc>
          <w:tcPr>
            <w:tcW w:type="dxa" w:w="1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Cybersecurity</w:t>
            </w:r>
          </w:p>
        </w:tc>
        <w:tc>
          <w:tcPr>
            <w:tcW w:type="dxa" w:w="3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cybersecurity services, VAPT, penetration testing, cloud/app security, SOC, OT security (generic, one section)</w:t>
            </w:r>
          </w:p>
        </w:tc>
        <w:tc>
          <w:tcPr>
            <w:tcW w:type="dxa" w:w="32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prompt injection, AI red teaming, secure MLOps</w:t>
            </w:r>
          </w:p>
        </w:tc>
      </w:tr>
      <w:tr>
        <w:trPr>
          <w:cantSplit/>
          <w:tblHeader w:val="off"/>
        </w:trPr>
        <w:tc>
          <w:tcPr>
            <w:tcW w:type="dxa" w:w="1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AI Security</w:t>
            </w:r>
          </w:p>
        </w:tc>
        <w:tc>
          <w:tcPr>
            <w:tcW w:type="dxa" w:w="3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AI security, AI red teaming, prompt injection testing, LLM security, AI SOC</w:t>
            </w:r>
          </w:p>
        </w:tc>
        <w:tc>
          <w:tcPr>
            <w:tcW w:type="dxa" w:w="32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VAPT, OT / SCADA</w:t>
            </w:r>
          </w:p>
        </w:tc>
      </w:tr>
      <w:tr>
        <w:trPr>
          <w:cantSplit/>
          <w:tblHeader w:val="off"/>
        </w:trPr>
        <w:tc>
          <w:tcPr>
            <w:tcW w:type="dxa" w:w="1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NEPRA</w:t>
            </w:r>
          </w:p>
        </w:tc>
        <w:tc>
          <w:tcPr>
            <w:tcW w:type="dxa" w:w="3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NEPRA compliance, NEPRA IT/OT Regulations 2022, NEPRA cybersecurity audit, SCADA security for power sector</w:t>
            </w:r>
          </w:p>
        </w:tc>
        <w:tc>
          <w:tcPr>
            <w:tcW w:type="dxa" w:w="32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generic "cybersecurity services"</w:t>
            </w:r>
          </w:p>
        </w:tc>
      </w:tr>
      <w:tr>
        <w:trPr>
          <w:cantSplit/>
          <w:tblHeader w:val="off"/>
        </w:trPr>
        <w:tc>
          <w:tcPr>
            <w:tcW w:type="dxa" w:w="1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Energy &amp; Utilities (industry)</w:t>
            </w:r>
          </w:p>
        </w:tc>
        <w:tc>
          <w:tcPr>
            <w:tcW w:type="dxa" w:w="39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AI for energy &amp; utilities</w:t>
            </w:r>
          </w:p>
        </w:tc>
        <w:tc>
          <w:tcPr>
            <w:tcW w:type="dxa" w:w="32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compliance-audit terms (link out to NEPRA instead)</w:t>
            </w:r>
          </w:p>
        </w:tc>
      </w:tr>
    </w:tbl>
    <w:p>
      <w:pPr>
        <w:spacing w:after="120"/>
      </w:pPr>
    </w:p>
    <w:p>
      <w:pPr>
        <w:pStyle w:val="Heading3"/>
      </w:pPr>
      <w:r>
        <w:t xml:space="preserve">Why no standalone OT Security page now</w:t>
      </w:r>
    </w:p>
    <w:p>
      <w:pPr>
        <w:pStyle w:val="ListParagraph"/>
        <w:numPr>
          <w:ilvl w:val="0"/>
          <w:numId w:val="2"/>
        </w:numPr>
        <w:spacing w:after="80"/>
      </w:pPr>
      <w:r>
        <w:rPr>
          <w:b/>
          <w:bCs/>
        </w:rPr>
        <w:t xml:space="preserve">Proof is thin.</w:t>
      </w:r>
      <w:r>
        <w:t xml:space="preserve"> The only OT proof we can publish is one anonymized engagement ("a 30 MW wind IPP"). IEC 62443 / NIST alignment is </w:t>
      </w:r>
      <w:r>
        <w:rPr>
          <w:b/>
          <w:bCs/>
        </w:rPr>
        <w:t xml:space="preserve">not approved</w:t>
      </w:r>
      <w:r>
        <w:t xml:space="preserve">. A generic OT page would be thin and couldn't make strong claims.</w:t>
      </w:r>
    </w:p>
    <w:p>
      <w:pPr>
        <w:pStyle w:val="ListParagraph"/>
        <w:numPr>
          <w:ilvl w:val="0"/>
          <w:numId w:val="2"/>
        </w:numPr>
        <w:spacing w:after="80"/>
      </w:pPr>
      <w:r>
        <w:rPr>
          <w:b/>
          <w:bCs/>
        </w:rPr>
        <w:t xml:space="preserve">It would compete with NEPRA.</w:t>
      </w:r>
      <w:r>
        <w:t xml:space="preserve"> The OT queries xLoop can realistically win are Pakistan power-sector ones, and the NEPRA page already covers them in depth (SCADA, DCS, PLCs, RTUs, a clause-by-clause table).</w:t>
      </w:r>
    </w:p>
    <w:p>
      <w:pPr>
        <w:pStyle w:val="ListParagraph"/>
        <w:numPr>
          <w:ilvl w:val="0"/>
          <w:numId w:val="2"/>
        </w:numPr>
        <w:spacing w:after="80"/>
      </w:pPr>
      <w:r>
        <w:rPr>
          <w:b/>
          <w:bCs/>
        </w:rPr>
        <w:t xml:space="preserve">When to build it:</w:t>
      </w:r>
      <w:r>
        <w:t xml:space="preserve"> once there's a second OT engagement outside power (oil &amp; gas, manufacturing) and the IEC 62443 claim is approved. Then </w:t>
      </w:r>
      <w:r>
        <w:rPr>
          <w:rFonts w:ascii="Consolas" w:cs="Consolas" w:eastAsia="Consolas" w:hAnsi="Consolas"/>
          <w:color w:val="0B1F3A"/>
          <w:sz w:val="19"/>
          <w:szCs w:val="19"/>
        </w:rPr>
        <w:t xml:space="preserve">/services/ot-security</w:t>
      </w:r>
      <w:r>
        <w:t xml:space="preserve"> becomes the parent page and NEPRA moves under it as a child.</w:t>
      </w:r>
    </w:p>
    <w:p>
      <w:pPr>
        <w:pStyle w:val="Heading1"/>
      </w:pPr>
      <w:r>
        <w:t xml:space="preserve">3. Cybersecurity page changes</w:t>
      </w:r>
    </w:p>
    <w:p>
      <w:pPr>
        <w:spacing w:after="120"/>
      </w:pPr>
      <w:r>
        <w:t xml:space="preserve">This is the main cannibalization problem. The Cybersecurity page is currently optimized as an </w:t>
      </w:r>
      <w:r>
        <w:rPr>
          <w:b/>
          <w:bCs/>
        </w:rPr>
        <w:t xml:space="preserve">AI</w:t>
      </w:r>
      <w:r>
        <w:t xml:space="preserve"> security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cantSplit/>
          <w:tblHeader/>
        </w:trPr>
        <w:tc>
          <w:tcPr>
            <w:tcW w:type="dxa" w:w="2000"/>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Element</w:t>
            </w:r>
          </w:p>
        </w:tc>
        <w:tc>
          <w:tcPr>
            <w:tcW w:type="dxa" w:w="3400"/>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Live now</w:t>
            </w:r>
          </w:p>
        </w:tc>
        <w:tc>
          <w:tcPr>
            <w:tcW w:type="dxa" w:w="3626"/>
            <w:tcBorders>
              <w:top w:val="single" w:color="C9D2E0" w:sz="4"/>
              <w:left w:val="single" w:color="C9D2E0" w:sz="4"/>
              <w:bottom w:val="single" w:color="C9D2E0" w:sz="4"/>
              <w:right w:val="single" w:color="C9D2E0" w:sz="4"/>
            </w:tcBorders>
            <w:shd w:fill="0B1F3A" w:color="auto" w:val="clear"/>
            <w:tcMar>
              <w:top w:type="dxa" w:w="80"/>
              <w:left w:type="dxa" w:w="120"/>
              <w:bottom w:type="dxa" w:w="80"/>
              <w:right w:type="dxa" w:w="120"/>
            </w:tcMar>
          </w:tcPr>
          <w:p>
            <w:r>
              <w:rPr>
                <w:b/>
                <w:bCs/>
                <w:color w:val="FFFFFF"/>
              </w:rPr>
              <w:t xml:space="preserve">Change to</w:t>
            </w:r>
          </w:p>
        </w:tc>
      </w:tr>
      <w:tr>
        <w:trPr>
          <w:cantSplit/>
          <w:tblHeader w:val="off"/>
        </w:trPr>
        <w:tc>
          <w:tcPr>
            <w:tcW w:type="dxa" w:w="20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Title tag</w:t>
            </w:r>
          </w:p>
        </w:tc>
        <w:tc>
          <w:tcPr>
            <w:tcW w:type="dxa" w:w="34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AI Cybersecurity Services | Threat Intelligence &amp; Secure MLOps | xLoop Digital | xLoop Digital</w:t>
            </w:r>
          </w:p>
        </w:tc>
        <w:tc>
          <w:tcPr>
            <w:tcW w:type="dxa" w:w="3626"/>
            <w:tcBorders>
              <w:top w:val="single" w:color="C9D2E0" w:sz="4"/>
              <w:left w:val="single" w:color="C9D2E0" w:sz="4"/>
              <w:bottom w:val="single" w:color="C9D2E0" w:sz="4"/>
              <w:right w:val="single" w:color="C9D2E0" w:sz="4"/>
            </w:tcBorders>
            <w:tcMar>
              <w:top w:type="dxa" w:w="80"/>
              <w:left w:type="dxa" w:w="120"/>
              <w:bottom w:type="dxa" w:w="80"/>
              <w:right w:type="dxa" w:w="120"/>
            </w:tcMar>
          </w:tcPr>
          <w:p>
            <w:r>
              <w:rPr>
                <w:b/>
                <w:bCs/>
              </w:rPr>
              <w:t xml:space="preserve">Cybersecurity Services: VAPT, SOC &amp; OT Security | xLoop Digital</w:t>
            </w:r>
          </w:p>
        </w:tc>
      </w:tr>
      <w:tr>
        <w:trPr>
          <w:cantSplit/>
          <w:tblHeader w:val="off"/>
        </w:trPr>
        <w:tc>
          <w:tcPr>
            <w:tcW w:type="dxa" w:w="20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Meta description</w:t>
            </w:r>
          </w:p>
        </w:tc>
        <w:tc>
          <w:tcPr>
            <w:tcW w:type="dxa" w:w="34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"…prompt injection testing, AI threat intelligence, red teaming, secure MLOps…"</w:t>
            </w:r>
          </w:p>
        </w:tc>
        <w:tc>
          <w:tcPr>
            <w:tcW w:type="dxa" w:w="3626"/>
            <w:tcBorders>
              <w:top w:val="single" w:color="C9D2E0" w:sz="4"/>
              <w:left w:val="single" w:color="C9D2E0" w:sz="4"/>
              <w:bottom w:val="single" w:color="C9D2E0" w:sz="4"/>
              <w:right w:val="single" w:color="C9D2E0" w:sz="4"/>
            </w:tcBorders>
            <w:tcMar>
              <w:top w:type="dxa" w:w="80"/>
              <w:left w:type="dxa" w:w="120"/>
              <w:bottom w:type="dxa" w:w="80"/>
              <w:right w:type="dxa" w:w="120"/>
            </w:tcMar>
          </w:tcPr>
          <w:p>
            <w:r>
              <w:rPr>
                <w:b/>
                <w:bCs/>
              </w:rPr>
              <w:t xml:space="preserve">xLoop Digital's cybersecurity services: VAPT, cloud and application security, SOC services, and OT security for SCADA and plant networks.</w:t>
            </w:r>
          </w:p>
        </w:tc>
      </w:tr>
      <w:tr>
        <w:trPr>
          <w:cantSplit/>
          <w:tblHeader w:val="off"/>
        </w:trPr>
        <w:tc>
          <w:tcPr>
            <w:tcW w:type="dxa" w:w="20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Hero rotating word</w:t>
            </w:r>
          </w:p>
        </w:tc>
        <w:tc>
          <w:tcPr>
            <w:tcW w:type="dxa" w:w="34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Prompt Injection Testing</w:t>
            </w:r>
          </w:p>
        </w:tc>
        <w:tc>
          <w:tcPr>
            <w:tcW w:type="dxa" w:w="36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Penetration Testing / OT Security (prompt injection belongs to AI Security)</w:t>
            </w:r>
          </w:p>
        </w:tc>
      </w:tr>
      <w:tr>
        <w:trPr>
          <w:cantSplit/>
          <w:tblHeader w:val="off"/>
        </w:trPr>
        <w:tc>
          <w:tcPr>
            <w:tcW w:type="dxa" w:w="20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H1</w:t>
            </w:r>
          </w:p>
        </w:tc>
        <w:tc>
          <w:tcPr>
            <w:tcW w:type="dxa" w:w="34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Empty in the HTML; several H1s on the page</w:t>
            </w:r>
          </w:p>
        </w:tc>
        <w:tc>
          <w:tcPr>
            <w:tcW w:type="dxa" w:w="36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One H1: </w:t>
            </w:r>
            <w:r>
              <w:rPr>
                <w:b/>
                <w:bCs/>
              </w:rPr>
              <w:t xml:space="preserve">Cybersecurity Services</w:t>
            </w:r>
            <w:r>
              <w:t xml:space="preserve">. Section titles become H2</w:t>
            </w:r>
          </w:p>
        </w:tc>
      </w:tr>
      <w:tr>
        <w:trPr>
          <w:cantSplit/>
          <w:tblHeader w:val="off"/>
        </w:trPr>
        <w:tc>
          <w:tcPr>
            <w:tcW w:type="dxa" w:w="20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Industry cards</w:t>
            </w:r>
          </w:p>
        </w:tc>
        <w:tc>
          <w:tcPr>
            <w:tcW w:type="dxa" w:w="3400"/>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Telecom, Banking, Oil &amp; Gas copied word for word from the AI Security page, all about AI</w:t>
            </w:r>
          </w:p>
        </w:tc>
        <w:tc>
          <w:tcPr>
            <w:tcW w:type="dxa" w:w="3626"/>
            <w:tcBorders>
              <w:top w:val="single" w:color="C9D2E0" w:sz="4"/>
              <w:left w:val="single" w:color="C9D2E0" w:sz="4"/>
              <w:bottom w:val="single" w:color="C9D2E0" w:sz="4"/>
              <w:right w:val="single" w:color="C9D2E0" w:sz="4"/>
            </w:tcBorders>
            <w:tcMar>
              <w:top w:type="dxa" w:w="80"/>
              <w:left w:type="dxa" w:w="120"/>
              <w:bottom w:type="dxa" w:w="80"/>
              <w:right w:type="dxa" w:w="120"/>
            </w:tcMar>
          </w:tcPr>
          <w:p>
            <w:r>
              <w:t xml:space="preserve">Replace all three with the new copy below: Telecom and Banking get new text, and Oil &amp; Gas becomes Energy &amp; Utilities</w:t>
            </w:r>
          </w:p>
        </w:tc>
      </w:tr>
    </w:tbl>
    <w:p>
      <w:pPr>
        <w:spacing w:after="120"/>
      </w:pPr>
    </w:p>
    <w:p>
      <w:pPr>
        <w:keepNext/>
        <w:spacing w:after="40" w:before="200"/>
      </w:pPr>
      <w:r>
        <w:rPr>
          <w:b/>
          <w:bCs/>
          <w:color w:val="1E5BFF"/>
          <w:spacing w:val="20"/>
          <w:sz w:val="17"/>
          <w:szCs w:val="17"/>
        </w:rPr>
        <w:t xml:space="preserve">NEW SERVICE CARD: 7TH CARD IN THE SERVICES GRID (HOVER TEXT)</w:t>
      </w:r>
    </w:p>
    <w:p>
      <w:pPr>
        <w:pBdr>
          <w:left w:val="single" w:color="1E5BFF" w:sz="18" w:space="8"/>
        </w:pBdr>
        <w:shd w:fill="EEF3FF" w:color="auto" w:val="clear"/>
        <w:spacing w:after="60" w:before="120"/>
        <w:ind w:left="240" w:right="240"/>
      </w:pPr>
      <w:r>
        <w:rPr>
          <w:b/>
          <w:bCs/>
        </w:rPr>
        <w:t xml:space="preserve">OT &amp; SCADA Security</w:t>
      </w:r>
    </w:p>
    <w:p>
      <w:pPr>
        <w:pBdr>
          <w:left w:val="single" w:color="1E5BFF" w:sz="18" w:space="8"/>
        </w:pBdr>
        <w:shd w:fill="EEF3FF" w:color="auto" w:val="clear"/>
        <w:spacing w:after="200" w:before="0"/>
        <w:ind w:left="240" w:right="240"/>
      </w:pPr>
      <w:r>
        <w:t xml:space="preserve">Passively assess SCADA, PLCs and plant networks without disrupting operations.</w:t>
      </w:r>
    </w:p>
    <w:p>
      <w:pPr>
        <w:spacing w:after="120"/>
      </w:pPr>
      <w:r>
        <w:rPr>
          <w:i/>
          <w:iCs/>
          <w:color w:val="5A6472"/>
          <w:sz w:val="19"/>
          <w:szCs w:val="19"/>
        </w:rPr>
        <w:t xml:space="preserve">Hover text is 10 words, about the same length as the other six cards. The service cards are not links, so this card has no NEPRA link. The NEPRA link goes in the Energy &amp; Utilities industry card below.</w:t>
      </w:r>
    </w:p>
    <w:p>
      <w:pPr>
        <w:spacing w:after="120"/>
      </w:pPr>
      <w:r>
        <w:rPr>
          <w:i/>
          <w:iCs/>
          <w:color w:val="5A6472"/>
          <w:sz w:val="19"/>
          <w:szCs w:val="19"/>
        </w:rPr>
        <w:t xml:space="preserve">Dev: the hover text on all seven cards is not in the server HTML today, so crawlers and AI agents can't read it. Keep the text in the HTML and reveal it with CSS on hover.</w:t>
      </w:r>
    </w:p>
    <w:p>
      <w:pPr>
        <w:keepNext/>
        <w:spacing w:after="40" w:before="200"/>
      </w:pPr>
      <w:r>
        <w:rPr>
          <w:b/>
          <w:bCs/>
          <w:color w:val="1E5BFF"/>
          <w:spacing w:val="20"/>
          <w:sz w:val="17"/>
          <w:szCs w:val="17"/>
        </w:rPr>
        <w:t xml:space="preserve">INDUSTRY CARDS (IMPACT BY SECTOR SECTION), IN THIS ORDER</w:t>
      </w:r>
    </w:p>
    <w:p>
      <w:pPr>
        <w:pBdr>
          <w:left w:val="single" w:color="1E5BFF" w:sz="18" w:space="8"/>
        </w:pBdr>
        <w:shd w:fill="EEF3FF" w:color="auto" w:val="clear"/>
        <w:spacing w:after="60" w:before="120"/>
        <w:ind w:left="240" w:right="240"/>
      </w:pPr>
      <w:r>
        <w:rPr>
          <w:b/>
          <w:bCs/>
        </w:rPr>
        <w:t xml:space="preserve">Telecommunications</w:t>
      </w:r>
    </w:p>
    <w:p>
      <w:pPr>
        <w:pBdr>
          <w:left w:val="single" w:color="1E5BFF" w:sz="18" w:space="8"/>
        </w:pBdr>
        <w:shd w:fill="EEF3FF" w:color="auto" w:val="clear"/>
        <w:spacing w:after="200" w:before="0"/>
        <w:ind w:left="240" w:right="240"/>
      </w:pPr>
      <w:r>
        <w:t xml:space="preserve">We secure telecom operators by testing customer portals and mobile apps, protecting subscriber and billing data, and monitoring network and cloud infrastructure for intrusion and fraud.</w:t>
      </w:r>
    </w:p>
    <w:p>
      <w:pPr>
        <w:pBdr>
          <w:left w:val="single" w:color="1E5BFF" w:sz="18" w:space="8"/>
        </w:pBdr>
        <w:shd w:fill="EEF3FF" w:color="auto" w:val="clear"/>
        <w:spacing w:after="60" w:before="120"/>
        <w:ind w:left="240" w:right="240"/>
      </w:pPr>
      <w:r>
        <w:rPr>
          <w:b/>
          <w:bCs/>
        </w:rPr>
        <w:t xml:space="preserve">Banking</w:t>
      </w:r>
    </w:p>
    <w:p>
      <w:pPr>
        <w:pBdr>
          <w:left w:val="single" w:color="1E5BFF" w:sz="18" w:space="8"/>
        </w:pBdr>
        <w:shd w:fill="EEF3FF" w:color="auto" w:val="clear"/>
        <w:spacing w:after="200" w:before="0"/>
        <w:ind w:left="240" w:right="240"/>
      </w:pPr>
      <w:r>
        <w:t xml:space="preserve">We secure banks by testing internet and mobile banking channels, hardening core and cloud infrastructure, and controlling access to customer and transaction data, with monitoring that supports regulatory audits.</w:t>
      </w:r>
    </w:p>
    <w:p>
      <w:pPr>
        <w:pBdr>
          <w:left w:val="single" w:color="1E5BFF" w:sz="18" w:space="8"/>
        </w:pBdr>
        <w:shd w:fill="EEF3FF" w:color="auto" w:val="clear"/>
        <w:spacing w:after="60" w:before="120"/>
        <w:ind w:left="240" w:right="240"/>
      </w:pPr>
      <w:r>
        <w:rPr>
          <w:b/>
          <w:bCs/>
        </w:rPr>
        <w:t xml:space="preserve">Energy &amp; Utilities</w:t>
      </w:r>
      <w:r>
        <w:t xml:space="preserve">  (replaces Oil &amp; Gas)</w:t>
      </w:r>
    </w:p>
    <w:p>
      <w:pPr>
        <w:pBdr>
          <w:left w:val="single" w:color="1E5BFF" w:sz="18" w:space="8"/>
        </w:pBdr>
        <w:shd w:fill="EEF3FF" w:color="auto" w:val="clear"/>
        <w:spacing w:after="60" w:before="0"/>
        <w:ind w:left="240" w:right="240"/>
      </w:pPr>
      <w:r>
        <w:t xml:space="preserve">We secure power, utility and oil and gas operators across IT and OT, from corporate networks to SCADA and plant controllers. For Pakistan's power sector, we align the work to NEPRA's IT/OT Regulations, 2022.</w:t>
      </w:r>
    </w:p>
    <w:p>
      <w:pPr>
        <w:pBdr>
          <w:left w:val="single" w:color="1E5BFF" w:sz="18" w:space="8"/>
        </w:pBdr>
        <w:shd w:fill="EEF3FF" w:color="auto" w:val="clear"/>
        <w:spacing w:after="200" w:before="0"/>
        <w:ind w:left="240" w:right="240"/>
      </w:pPr>
      <w:r>
        <w:rPr>
          <w:b/>
          <w:bCs/>
        </w:rPr>
        <w:t xml:space="preserve">Text link at the end of the card:</w:t>
      </w:r>
      <w:r>
        <w:t xml:space="preserve"> NEPRA IT/OT compliance →  links to </w:t>
      </w:r>
      <w:r>
        <w:rPr>
          <w:rFonts w:ascii="Consolas" w:cs="Consolas" w:eastAsia="Consolas" w:hAnsi="Consolas"/>
          <w:color w:val="0B1F3A"/>
          <w:sz w:val="19"/>
          <w:szCs w:val="19"/>
        </w:rPr>
        <w:t xml:space="preserve">/services/nepra</w:t>
      </w:r>
    </w:p>
    <w:p>
      <w:pPr>
        <w:spacing w:after="120"/>
      </w:pPr>
      <w:r>
        <w:rPr>
          <w:i/>
          <w:iCs/>
          <w:color w:val="5A6472"/>
          <w:sz w:val="19"/>
          <w:szCs w:val="19"/>
        </w:rPr>
        <w:t xml:space="preserve">Fintech, Retail &amp; eCommerce and Healthcare stay as they are.</w:t>
      </w:r>
    </w:p>
    <w:p>
      <w:pPr>
        <w:pStyle w:val="Heading1"/>
      </w:pPr>
      <w:r>
        <w:t xml:space="preserve">4. NEPRA page fixes, needed before the nav link goes live</w:t>
      </w:r>
    </w:p>
    <w:p>
      <w:pPr>
        <w:spacing w:after="120"/>
      </w:pPr>
      <w:r>
        <w:t xml:space="preserve">A nav link gives the page more weight and sends more traffic to it, so the errors below will be seen more often.</w:t>
      </w:r>
    </w:p>
    <w:p>
      <w:pPr>
        <w:pStyle w:val="ListParagraph"/>
        <w:numPr>
          <w:ilvl w:val="0"/>
          <w:numId w:val="3"/>
        </w:numPr>
        <w:spacing w:after="80"/>
      </w:pPr>
      <w:r>
        <w:rPr>
          <w:b/>
          <w:bCs/>
        </w:rPr>
        <w:t xml:space="preserve">Regulations 4–11 → 4–12</w:t>
      </w:r>
      <w:r>
        <w:t xml:space="preserve"> everywhere: the stat tile, the H2 "Regulation 4 to 11", the service card, the capsule. Add a table row for </w:t>
      </w:r>
      <w:r>
        <w:rPr>
          <w:b/>
          <w:bCs/>
        </w:rPr>
        <w:t xml:space="preserve">Regulation 12: PowerCERT coordination</w:t>
      </w:r>
      <w:r>
        <w:t xml:space="preserve">. This has been publicly wrong since August.</w:t>
      </w:r>
    </w:p>
    <w:p>
      <w:pPr>
        <w:pStyle w:val="ListParagraph"/>
        <w:numPr>
          <w:ilvl w:val="0"/>
          <w:numId w:val="3"/>
        </w:numPr>
        <w:spacing w:after="80"/>
      </w:pPr>
      <w:r>
        <w:rPr>
          <w:b/>
          <w:bCs/>
        </w:rPr>
        <w:t xml:space="preserve">US spelling.</w:t>
      </w:r>
      <w:r>
        <w:t xml:space="preserve"> 11 British forms are live: organisation ×3, programme(s) ×3, organised ×2, prioritised ×2, licence. Keep "licence" only where it quotes NEPRA's official term.</w:t>
      </w:r>
    </w:p>
    <w:p>
      <w:pPr>
        <w:pStyle w:val="ListParagraph"/>
        <w:numPr>
          <w:ilvl w:val="0"/>
          <w:numId w:val="3"/>
        </w:numPr>
        <w:spacing w:after="80"/>
      </w:pPr>
      <w:r>
        <w:rPr>
          <w:b/>
          <w:bCs/>
        </w:rPr>
        <w:t xml:space="preserve">Full citation once, in the first section:</w:t>
      </w:r>
      <w:r>
        <w:t xml:space="preserve"> NEPRA (Security of Information Technology and Operational Technology) Regulations, 2022 (SRO 1708(I)/2022).</w:t>
      </w:r>
    </w:p>
    <w:p>
      <w:pPr>
        <w:pStyle w:val="ListParagraph"/>
        <w:numPr>
          <w:ilvl w:val="0"/>
          <w:numId w:val="3"/>
        </w:numPr>
        <w:spacing w:after="80"/>
      </w:pPr>
      <w:r>
        <w:rPr>
          <w:b/>
          <w:bCs/>
        </w:rPr>
        <w:t xml:space="preserve">Schema.</w:t>
      </w:r>
      <w:r>
        <w:t xml:space="preserve"> Only Organization + WebSite are live. Ship the JSON-LD in </w:t>
      </w:r>
      <w:r>
        <w:rPr>
          <w:b/>
          <w:bCs/>
        </w:rPr>
        <w:t xml:space="preserve">Appendix A</w:t>
      </w:r>
      <w:r>
        <w:t xml:space="preserve"> (Service + FAQPage + BreadcrumbList). Don't use the August FINAL content doc; its schema is out of date (old URL, Regulations 4-11, broken breadcrumb).</w:t>
      </w:r>
    </w:p>
    <w:p>
      <w:pPr>
        <w:pStyle w:val="ListParagraph"/>
        <w:numPr>
          <w:ilvl w:val="0"/>
          <w:numId w:val="3"/>
        </w:numPr>
        <w:spacing w:after="80"/>
      </w:pPr>
      <w:r>
        <w:rPr>
          <w:b/>
          <w:bCs/>
        </w:rPr>
        <w:t xml:space="preserve">FAQ copy, so it matches the schema word for word:</w:t>
      </w:r>
      <w:r>
        <w:t xml:space="preserve"> FAQ 2 answer → the text in Appendix A (adds the full citation and PowerCERT coordination). FAQ 6 answer: "organised" → "organized".</w:t>
      </w:r>
    </w:p>
    <w:p>
      <w:pPr>
        <w:pStyle w:val="ListParagraph"/>
        <w:numPr>
          <w:ilvl w:val="0"/>
          <w:numId w:val="3"/>
        </w:numPr>
        <w:spacing w:after="80"/>
      </w:pPr>
      <w:r>
        <w:rPr>
          <w:b/>
          <w:bCs/>
        </w:rPr>
        <w:t xml:space="preserve">Breadcrumb:</w:t>
      </w:r>
      <w:r>
        <w:t xml:space="preserve"> Home › Cybersecurity Services › NEPRA IT/OT Compliance, with the middle item linking to </w:t>
      </w:r>
      <w:r>
        <w:rPr>
          <w:rFonts w:ascii="Consolas" w:cs="Consolas" w:eastAsia="Consolas" w:hAnsi="Consolas"/>
          <w:color w:val="0B1F3A"/>
          <w:sz w:val="19"/>
          <w:szCs w:val="19"/>
        </w:rPr>
        <w:t xml:space="preserve">/services/cyber-security-service</w:t>
      </w:r>
      <w:r>
        <w:t xml:space="preserve">. There's no xSecurity page, and </w:t>
      </w:r>
      <w:r>
        <w:rPr>
          <w:rFonts w:ascii="Consolas" w:cs="Consolas" w:eastAsia="Consolas" w:hAnsi="Consolas"/>
          <w:color w:val="0B1F3A"/>
          <w:sz w:val="19"/>
          <w:szCs w:val="19"/>
        </w:rPr>
        <w:t xml:space="preserve">/services</w:t>
      </w:r>
      <w:r>
        <w:t xml:space="preserve"> redirects to AI Consultancy. If the page shows a visible breadcrumb, it must match the schema.</w:t>
      </w:r>
    </w:p>
    <w:p>
      <w:pPr>
        <w:pStyle w:val="ListParagraph"/>
        <w:numPr>
          <w:ilvl w:val="0"/>
          <w:numId w:val="3"/>
        </w:numPr>
        <w:spacing w:after="80"/>
      </w:pPr>
      <w:r>
        <w:rPr>
          <w:b/>
          <w:bCs/>
        </w:rPr>
        <w:t xml:space="preserve">H1 is empty in the server HTML.</w:t>
      </w:r>
      <w:r>
        <w:t xml:space="preserve"> It's filled in by an animation, so crawlers and AI agents that don't run JavaScript see no H1. Render the text in the HTML and animate it visually only. This is sitewide: every service page has the same issue.</w:t>
      </w:r>
    </w:p>
    <w:p>
      <w:pPr>
        <w:pStyle w:val="ListParagraph"/>
        <w:numPr>
          <w:ilvl w:val="0"/>
          <w:numId w:val="3"/>
        </w:numPr>
        <w:spacing w:after="80"/>
      </w:pPr>
      <w:r>
        <w:rPr>
          <w:b/>
          <w:bCs/>
        </w:rPr>
        <w:t xml:space="preserve">Country count.</w:t>
      </w:r>
      <w:r>
        <w:t xml:space="preserve"> "Inside a digital engineering firm operating across eight countries" conflicts with the letter (four offices). Confirm before the page gets more traffic.</w:t>
      </w:r>
    </w:p>
    <w:p>
      <w:pPr>
        <w:pStyle w:val="ListParagraph"/>
        <w:numPr>
          <w:ilvl w:val="0"/>
          <w:numId w:val="3"/>
        </w:numPr>
        <w:spacing w:after="80"/>
      </w:pPr>
      <w:r>
        <w:rPr>
          <w:b/>
          <w:bCs/>
        </w:rPr>
        <w:t xml:space="preserve">Still unconfirmed:</w:t>
      </w:r>
      <w:r>
        <w:t xml:space="preserve"> "roughly three weeks" (sales) and permission to use the anonymized 30 MW wind IPP reference.</w:t>
      </w:r>
    </w:p>
    <w:p>
      <w:pPr>
        <w:pStyle w:val="ListParagraph"/>
        <w:numPr>
          <w:ilvl w:val="0"/>
          <w:numId w:val="3"/>
        </w:numPr>
        <w:spacing w:after="80"/>
      </w:pPr>
      <w:r>
        <w:rPr>
          <w:b/>
          <w:bCs/>
        </w:rPr>
        <w:t xml:space="preserve">Optional, stronger hook:</w:t>
      </w:r>
      <w:r>
        <w:t xml:space="preserve"> ISMO has started issuing compliance reminders and doing unannounced inspections.</w:t>
      </w:r>
    </w:p>
    <w:p>
      <w:pPr>
        <w:pStyle w:val="Heading1"/>
      </w:pPr>
      <w:r>
        <w:t xml:space="preserve">5. Internal links + AI-agent visibility</w:t>
      </w:r>
    </w:p>
    <w:p>
      <w:pPr>
        <w:spacing w:after="120"/>
      </w:pPr>
      <w:r>
        <w:t xml:space="preserve">Today the NEPRA page's only inbound links are the homepage ribbon and the sitemap.</w:t>
      </w:r>
    </w:p>
    <w:p>
      <w:pPr>
        <w:pStyle w:val="ListParagraph"/>
        <w:numPr>
          <w:ilvl w:val="0"/>
          <w:numId w:val="3"/>
        </w:numPr>
        <w:spacing w:after="80"/>
      </w:pPr>
      <w:r>
        <w:t xml:space="preserve">Mega menu item (section 1). This is the sitewide link.</w:t>
      </w:r>
    </w:p>
    <w:p>
      <w:pPr>
        <w:pStyle w:val="ListParagraph"/>
        <w:numPr>
          <w:ilvl w:val="0"/>
          <w:numId w:val="3"/>
        </w:numPr>
        <w:spacing w:after="80"/>
      </w:pPr>
      <w:r>
        <w:t xml:space="preserve">Cybersecurity page: the OT card + the Energy &amp; Utilities card (section 3).</w:t>
      </w:r>
    </w:p>
    <w:p>
      <w:pPr>
        <w:pStyle w:val="ListParagraph"/>
        <w:numPr>
          <w:ilvl w:val="0"/>
          <w:numId w:val="3"/>
        </w:numPr>
        <w:spacing w:after="80"/>
      </w:pPr>
      <w:r>
        <w:t xml:space="preserve">Energy &amp; Utilities page: in the "Cybersecurity &amp; Grid Resilience" and "Regulatory Compliance &amp; Sustainability" cards, add "NEPRA IT/OT compliance →".</w:t>
      </w:r>
    </w:p>
    <w:p>
      <w:pPr>
        <w:pStyle w:val="ListParagraph"/>
        <w:numPr>
          <w:ilvl w:val="0"/>
          <w:numId w:val="3"/>
        </w:numPr>
        <w:spacing w:after="80"/>
      </w:pPr>
      <w:r>
        <w:t xml:space="preserve">A "Related xSecurity services" strip at the bottom of all three xSecurity pages, linking the other two.</w:t>
      </w:r>
    </w:p>
    <w:p>
      <w:pPr>
        <w:pStyle w:val="ListParagraph"/>
        <w:numPr>
          <w:ilvl w:val="0"/>
          <w:numId w:val="3"/>
        </w:numPr>
        <w:spacing w:after="80"/>
      </w:pPr>
      <w:r>
        <w:t xml:space="preserve">Footer: there is no xSecurity column. Add </w:t>
      </w:r>
      <w:r>
        <w:rPr>
          <w:b/>
          <w:bCs/>
        </w:rPr>
        <w:t xml:space="preserve">Cybersecurity Services</w:t>
      </w:r>
      <w:r>
        <w:t xml:space="preserve"> and </w:t>
      </w:r>
      <w:r>
        <w:rPr>
          <w:b/>
          <w:bCs/>
        </w:rPr>
        <w:t xml:space="preserve">NEPRA IT/OT Compliance</w:t>
      </w:r>
      <w:r>
        <w:t xml:space="preserve"> to the Services column.</w:t>
      </w:r>
    </w:p>
    <w:p>
      <w:pPr>
        <w:pStyle w:val="ListParagraph"/>
        <w:numPr>
          <w:ilvl w:val="0"/>
          <w:numId w:val="3"/>
        </w:numPr>
        <w:spacing w:after="80"/>
      </w:pPr>
      <w:r>
        <w:rPr>
          <w:b/>
          <w:bCs/>
        </w:rPr>
        <w:t xml:space="preserve">/llms.txt:</w:t>
      </w:r>
      <w:r>
        <w:t xml:space="preserve"> NEPRA is missing. Add the line below under services, and update the Cyber Security line.</w:t>
      </w:r>
    </w:p>
    <w:p>
      <w:pPr>
        <w:pBdr>
          <w:left w:val="single" w:color="1E5BFF" w:sz="18" w:space="8"/>
        </w:pBdr>
        <w:shd w:fill="EEF3FF" w:color="auto" w:val="clear"/>
        <w:spacing w:after="60" w:before="120"/>
        <w:ind w:left="240" w:right="240"/>
      </w:pPr>
      <w:r>
        <w:rPr>
          <w:rFonts w:ascii="Consolas" w:cs="Consolas" w:eastAsia="Consolas" w:hAnsi="Consolas"/>
          <w:color w:val="0B1F3A"/>
          <w:sz w:val="19"/>
          <w:szCs w:val="19"/>
        </w:rPr>
        <w:t xml:space="preserve">- [NEPRA IT/OT Compliance](https://www.xloopdigital.com/services/nepra): Compliance audits, IT/OT VAPT, policy frameworks and training for Pakistan's power sector under the NEPRA IT/OT Regulations, 2022</w:t>
      </w:r>
    </w:p>
    <w:p>
      <w:pPr>
        <w:pBdr>
          <w:left w:val="single" w:color="1E5BFF" w:sz="18" w:space="8"/>
        </w:pBdr>
        <w:shd w:fill="EEF3FF" w:color="auto" w:val="clear"/>
        <w:spacing w:after="200" w:before="0"/>
        <w:ind w:left="240" w:right="240"/>
      </w:pPr>
      <w:r>
        <w:rPr>
          <w:rFonts w:ascii="Consolas" w:cs="Consolas" w:eastAsia="Consolas" w:hAnsi="Consolas"/>
          <w:color w:val="0B1F3A"/>
          <w:sz w:val="19"/>
          <w:szCs w:val="19"/>
        </w:rPr>
        <w:t xml:space="preserve">- [Cybersecurity Services](https://www.xloopdigital.com/services/cyber-security-service): Cybersecurity services: VAPT, cloud and application security, SOC, and OT/SCADA security</w:t>
      </w:r>
    </w:p>
    <w:p>
      <w:pPr>
        <w:pStyle w:val="ListParagraph"/>
        <w:numPr>
          <w:ilvl w:val="0"/>
          <w:numId w:val="3"/>
        </w:numPr>
        <w:spacing w:after="80"/>
      </w:pPr>
      <w:r>
        <w:t xml:space="preserve">Sitewide: fix the doubled title suffix ("| xLoop Digital | xLoop Digital").</w:t>
      </w:r>
    </w:p>
    <w:p>
      <w:pPr>
        <w:pStyle w:val="Heading1"/>
      </w:pPr>
      <w:r>
        <w:t xml:space="preserve">Next steps</w:t>
      </w:r>
    </w:p>
    <w:p>
      <w:pPr>
        <w:pStyle w:val="ListParagraph"/>
        <w:numPr>
          <w:ilvl w:val="0"/>
          <w:numId w:val="3"/>
        </w:numPr>
        <w:spacing w:after="80"/>
      </w:pPr>
      <w:r>
        <w:t xml:space="preserve">Send sections 1 + 3 to design (mega menu item, OT card, Energy &amp; Utilities card).</w:t>
      </w:r>
    </w:p>
    <w:p>
      <w:pPr>
        <w:pStyle w:val="ListParagraph"/>
        <w:numPr>
          <w:ilvl w:val="0"/>
          <w:numId w:val="3"/>
        </w:numPr>
        <w:spacing w:after="80"/>
      </w:pPr>
      <w:r>
        <w:t xml:space="preserve">Send sections 1, 3, 4 and 5 to dev.</w:t>
      </w:r>
    </w:p>
    <w:p>
      <w:pPr>
        <w:pStyle w:val="ListParagraph"/>
        <w:numPr>
          <w:ilvl w:val="0"/>
          <w:numId w:val="3"/>
        </w:numPr>
        <w:spacing w:after="80"/>
      </w:pPr>
      <w:r>
        <w:t xml:space="preserve">Security practice: confirm the Regulation 12 row wording, and whether the IEC 62443 claim can be approved (this decides when OT gets its own page).</w:t>
      </w:r>
    </w:p>
    <w:p>
      <w:pPr>
        <w:pStyle w:val="ListParagraph"/>
        <w:numPr>
          <w:ilvl w:val="0"/>
          <w:numId w:val="3"/>
        </w:numPr>
        <w:spacing w:after="80"/>
      </w:pPr>
      <w:r>
        <w:t xml:space="preserve">Confirm the office/country count for the NEPRA "Why xLoop" card (the footer lists 4 offices; the card says "eight countries").</w:t>
      </w:r>
    </w:p>
    <w:p>
      <w:r>
        <w:br w:type="page"/>
      </w:r>
    </w:p>
    <w:p>
      <w:pPr>
        <w:pStyle w:val="Heading1"/>
      </w:pPr>
      <w:r>
        <w:t xml:space="preserve">Appendix A: NEPRA page JSON-LD</w:t>
      </w:r>
    </w:p>
    <w:p>
      <w:pPr>
        <w:spacing w:after="120"/>
      </w:pPr>
      <w:r>
        <w:t xml:space="preserve">One </w:t>
      </w:r>
      <w:r>
        <w:rPr>
          <w:rFonts w:ascii="Consolas" w:cs="Consolas" w:eastAsia="Consolas" w:hAnsi="Consolas"/>
          <w:color w:val="0B1F3A"/>
          <w:sz w:val="19"/>
          <w:szCs w:val="19"/>
        </w:rPr>
        <w:t xml:space="preserve">&lt;script type="application/ld+json"&gt;</w:t>
      </w:r>
      <w:r>
        <w:t xml:space="preserve"> in the </w:t>
      </w:r>
      <w:r>
        <w:rPr>
          <w:rFonts w:ascii="Consolas" w:cs="Consolas" w:eastAsia="Consolas" w:hAnsi="Consolas"/>
          <w:color w:val="0B1F3A"/>
          <w:sz w:val="19"/>
          <w:szCs w:val="19"/>
        </w:rPr>
        <w:t xml:space="preserve">&lt;head&gt;</w:t>
      </w:r>
      <w:r>
        <w:t xml:space="preserve"> of </w:t>
      </w:r>
      <w:r>
        <w:rPr>
          <w:rFonts w:ascii="Consolas" w:cs="Consolas" w:eastAsia="Consolas" w:hAnsi="Consolas"/>
          <w:color w:val="0B1F3A"/>
          <w:sz w:val="19"/>
          <w:szCs w:val="19"/>
        </w:rPr>
        <w:t xml:space="preserve">/services/nepra</w:t>
      </w:r>
      <w:r>
        <w:t xml:space="preserve">, rendered in the server HTML. Validated as JSON. Copy it from here or from the note </w:t>
      </w:r>
      <w:r>
        <w:rPr>
          <w:rFonts w:ascii="Consolas" w:cs="Consolas" w:eastAsia="Consolas" w:hAnsi="Consolas"/>
          <w:color w:val="0B1F3A"/>
          <w:sz w:val="19"/>
          <w:szCs w:val="19"/>
        </w:rPr>
        <w:t xml:space="preserve">Notes/2026-10-02-nepra-dev-answers-and-json-ld.md</w:t>
      </w:r>
      <w:r>
        <w:t xml:space="preserve">. Run it through the Rich Results Test (search.google.com/test/rich-results) before and after launch, and again whenever the FAQ copy changes.</w:t>
      </w:r>
    </w:p>
    <w:p>
      <w:pPr>
        <w:shd w:fill="F4F6FA" w:color="auto" w:val="clear"/>
        <w:spacing w:after="0" w:before="0" w:line="240"/>
      </w:pPr>
      <w:r>
        <w:rPr>
          <w:rFonts w:ascii="Consolas" w:cs="Consolas" w:eastAsia="Consolas" w:hAnsi="Consolas"/>
          <w:color w:val="0B1F3A"/>
          <w:sz w:val="15"/>
          <w:szCs w:val="15"/>
        </w:rPr>
        <w:t xml:space="preserve">[</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"@context": "https://schema.org",</w:t>
      </w:r>
    </w:p>
    <w:p>
      <w:pPr>
        <w:shd w:fill="F4F6FA" w:color="auto" w:val="clear"/>
        <w:spacing w:after="0" w:before="0" w:line="240"/>
      </w:pPr>
      <w:r>
        <w:rPr>
          <w:rFonts w:ascii="Consolas" w:cs="Consolas" w:eastAsia="Consolas" w:hAnsi="Consolas"/>
          <w:color w:val="0B1F3A"/>
          <w:sz w:val="15"/>
          <w:szCs w:val="15"/>
        </w:rPr>
        <w:t xml:space="preserve">    "@type": "Service",</w:t>
      </w:r>
    </w:p>
    <w:p>
      <w:pPr>
        <w:shd w:fill="F4F6FA" w:color="auto" w:val="clear"/>
        <w:spacing w:after="0" w:before="0" w:line="240"/>
      </w:pPr>
      <w:r>
        <w:rPr>
          <w:rFonts w:ascii="Consolas" w:cs="Consolas" w:eastAsia="Consolas" w:hAnsi="Consolas"/>
          <w:color w:val="0B1F3A"/>
          <w:sz w:val="15"/>
          <w:szCs w:val="15"/>
        </w:rPr>
        <w:t xml:space="preserve">    "@id": "https://www.xloopdigital.com/services/nepra#service",</w:t>
      </w:r>
    </w:p>
    <w:p>
      <w:pPr>
        <w:shd w:fill="F4F6FA" w:color="auto" w:val="clear"/>
        <w:spacing w:after="0" w:before="0" w:line="240"/>
      </w:pPr>
      <w:r>
        <w:rPr>
          <w:rFonts w:ascii="Consolas" w:cs="Consolas" w:eastAsia="Consolas" w:hAnsi="Consolas"/>
          <w:color w:val="0B1F3A"/>
          <w:sz w:val="15"/>
          <w:szCs w:val="15"/>
        </w:rPr>
        <w:t xml:space="preserve">    "name": "NEPRA IT/OT Regulatory Compliance Services",</w:t>
      </w:r>
    </w:p>
    <w:p>
      <w:pPr>
        <w:shd w:fill="F4F6FA" w:color="auto" w:val="clear"/>
        <w:spacing w:after="0" w:before="0" w:line="240"/>
      </w:pPr>
      <w:r>
        <w:rPr>
          <w:rFonts w:ascii="Consolas" w:cs="Consolas" w:eastAsia="Consolas" w:hAnsi="Consolas"/>
          <w:color w:val="0B1F3A"/>
          <w:sz w:val="15"/>
          <w:szCs w:val="15"/>
        </w:rPr>
        <w:t xml:space="preserve">    "serviceType": "Cybersecurity regulatory compliance",</w:t>
      </w:r>
    </w:p>
    <w:p>
      <w:pPr>
        <w:shd w:fill="F4F6FA" w:color="auto" w:val="clear"/>
        <w:spacing w:after="0" w:before="0" w:line="240"/>
      </w:pPr>
      <w:r>
        <w:rPr>
          <w:rFonts w:ascii="Consolas" w:cs="Consolas" w:eastAsia="Consolas" w:hAnsi="Consolas"/>
          <w:color w:val="0B1F3A"/>
          <w:sz w:val="15"/>
          <w:szCs w:val="15"/>
        </w:rPr>
        <w:t xml:space="preserve">    "url": "https://www.xloopdigital.com/services/nepra",</w:t>
      </w:r>
    </w:p>
    <w:p>
      <w:pPr>
        <w:shd w:fill="F4F6FA" w:color="auto" w:val="clear"/>
        <w:spacing w:after="0" w:before="0" w:line="240"/>
      </w:pPr>
      <w:r>
        <w:rPr>
          <w:rFonts w:ascii="Consolas" w:cs="Consolas" w:eastAsia="Consolas" w:hAnsi="Consolas"/>
          <w:color w:val="0B1F3A"/>
          <w:sz w:val="15"/>
          <w:szCs w:val="15"/>
        </w:rPr>
        <w:t xml:space="preserve">    "description": "NEPRA compliance audits, IT and OT VAPT, security policy frameworks and training for Pakistan's power sector under the NEPRA (Security of Information Technology and Operational Technology) Regulations, 2022, covering Regulations 4 to 12.",</w:t>
      </w:r>
    </w:p>
    <w:p>
      <w:pPr>
        <w:shd w:fill="F4F6FA" w:color="auto" w:val="clear"/>
        <w:spacing w:after="0" w:before="0" w:line="240"/>
      </w:pPr>
      <w:r>
        <w:rPr>
          <w:rFonts w:ascii="Consolas" w:cs="Consolas" w:eastAsia="Consolas" w:hAnsi="Consolas"/>
          <w:color w:val="0B1F3A"/>
          <w:sz w:val="15"/>
          <w:szCs w:val="15"/>
        </w:rPr>
        <w:t xml:space="preserve">    "provider": {</w:t>
      </w:r>
    </w:p>
    <w:p>
      <w:pPr>
        <w:shd w:fill="F4F6FA" w:color="auto" w:val="clear"/>
        <w:spacing w:after="0" w:before="0" w:line="240"/>
      </w:pPr>
      <w:r>
        <w:rPr>
          <w:rFonts w:ascii="Consolas" w:cs="Consolas" w:eastAsia="Consolas" w:hAnsi="Consolas"/>
          <w:color w:val="0B1F3A"/>
          <w:sz w:val="15"/>
          <w:szCs w:val="15"/>
        </w:rPr>
        <w:t xml:space="preserve">      "@type": "Organization",</w:t>
      </w:r>
    </w:p>
    <w:p>
      <w:pPr>
        <w:shd w:fill="F4F6FA" w:color="auto" w:val="clear"/>
        <w:spacing w:after="0" w:before="0" w:line="240"/>
      </w:pPr>
      <w:r>
        <w:rPr>
          <w:rFonts w:ascii="Consolas" w:cs="Consolas" w:eastAsia="Consolas" w:hAnsi="Consolas"/>
          <w:color w:val="0B1F3A"/>
          <w:sz w:val="15"/>
          <w:szCs w:val="15"/>
        </w:rPr>
        <w:t xml:space="preserve">      "name": "xLoop Digital",</w:t>
      </w:r>
    </w:p>
    <w:p>
      <w:pPr>
        <w:shd w:fill="F4F6FA" w:color="auto" w:val="clear"/>
        <w:spacing w:after="0" w:before="0" w:line="240"/>
      </w:pPr>
      <w:r>
        <w:rPr>
          <w:rFonts w:ascii="Consolas" w:cs="Consolas" w:eastAsia="Consolas" w:hAnsi="Consolas"/>
          <w:color w:val="0B1F3A"/>
          <w:sz w:val="15"/>
          <w:szCs w:val="15"/>
        </w:rPr>
        <w:t xml:space="preserve">      "url": "https://www.xloopdigital.com",</w:t>
      </w:r>
    </w:p>
    <w:p>
      <w:pPr>
        <w:shd w:fill="F4F6FA" w:color="auto" w:val="clear"/>
        <w:spacing w:after="0" w:before="0" w:line="240"/>
      </w:pPr>
      <w:r>
        <w:rPr>
          <w:rFonts w:ascii="Consolas" w:cs="Consolas" w:eastAsia="Consolas" w:hAnsi="Consolas"/>
          <w:color w:val="0B1F3A"/>
          <w:sz w:val="15"/>
          <w:szCs w:val="15"/>
        </w:rPr>
        <w:t xml:space="preserve">      "telephone": "+92-21-3586-9200",</w:t>
      </w:r>
    </w:p>
    <w:p>
      <w:pPr>
        <w:shd w:fill="F4F6FA" w:color="auto" w:val="clear"/>
        <w:spacing w:after="0" w:before="0" w:line="240"/>
      </w:pPr>
      <w:r>
        <w:rPr>
          <w:rFonts w:ascii="Consolas" w:cs="Consolas" w:eastAsia="Consolas" w:hAnsi="Consolas"/>
          <w:color w:val="0B1F3A"/>
          <w:sz w:val="15"/>
          <w:szCs w:val="15"/>
        </w:rPr>
        <w:t xml:space="preserve">      "email": "xsecurity@xloopdigital.com"</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"areaServed": {</w:t>
      </w:r>
    </w:p>
    <w:p>
      <w:pPr>
        <w:shd w:fill="F4F6FA" w:color="auto" w:val="clear"/>
        <w:spacing w:after="0" w:before="0" w:line="240"/>
      </w:pPr>
      <w:r>
        <w:rPr>
          <w:rFonts w:ascii="Consolas" w:cs="Consolas" w:eastAsia="Consolas" w:hAnsi="Consolas"/>
          <w:color w:val="0B1F3A"/>
          <w:sz w:val="15"/>
          <w:szCs w:val="15"/>
        </w:rPr>
        <w:t xml:space="preserve">      "@type": "Country",</w:t>
      </w:r>
    </w:p>
    <w:p>
      <w:pPr>
        <w:shd w:fill="F4F6FA" w:color="auto" w:val="clear"/>
        <w:spacing w:after="0" w:before="0" w:line="240"/>
      </w:pPr>
      <w:r>
        <w:rPr>
          <w:rFonts w:ascii="Consolas" w:cs="Consolas" w:eastAsia="Consolas" w:hAnsi="Consolas"/>
          <w:color w:val="0B1F3A"/>
          <w:sz w:val="15"/>
          <w:szCs w:val="15"/>
        </w:rPr>
        <w:t xml:space="preserve">      "name": "Pakistan"</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"audience": {</w:t>
      </w:r>
    </w:p>
    <w:p>
      <w:pPr>
        <w:shd w:fill="F4F6FA" w:color="auto" w:val="clear"/>
        <w:spacing w:after="0" w:before="0" w:line="240"/>
      </w:pPr>
      <w:r>
        <w:rPr>
          <w:rFonts w:ascii="Consolas" w:cs="Consolas" w:eastAsia="Consolas" w:hAnsi="Consolas"/>
          <w:color w:val="0B1F3A"/>
          <w:sz w:val="15"/>
          <w:szCs w:val="15"/>
        </w:rPr>
        <w:t xml:space="preserve">      "@type": "BusinessAudience",</w:t>
      </w:r>
    </w:p>
    <w:p>
      <w:pPr>
        <w:shd w:fill="F4F6FA" w:color="auto" w:val="clear"/>
        <w:spacing w:after="0" w:before="0" w:line="240"/>
      </w:pPr>
      <w:r>
        <w:rPr>
          <w:rFonts w:ascii="Consolas" w:cs="Consolas" w:eastAsia="Consolas" w:hAnsi="Consolas"/>
          <w:color w:val="0B1F3A"/>
          <w:sz w:val="15"/>
          <w:szCs w:val="15"/>
        </w:rPr>
        <w:t xml:space="preserve">      "audienceType": "NEPRA-licensed power generation, transmission and distribution companies"</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"hasOfferCatalog": {</w:t>
      </w:r>
    </w:p>
    <w:p>
      <w:pPr>
        <w:shd w:fill="F4F6FA" w:color="auto" w:val="clear"/>
        <w:spacing w:after="0" w:before="0" w:line="240"/>
      </w:pPr>
      <w:r>
        <w:rPr>
          <w:rFonts w:ascii="Consolas" w:cs="Consolas" w:eastAsia="Consolas" w:hAnsi="Consolas"/>
          <w:color w:val="0B1F3A"/>
          <w:sz w:val="15"/>
          <w:szCs w:val="15"/>
        </w:rPr>
        <w:t xml:space="preserve">      "@type": "OfferCatalog",</w:t>
      </w:r>
    </w:p>
    <w:p>
      <w:pPr>
        <w:shd w:fill="F4F6FA" w:color="auto" w:val="clear"/>
        <w:spacing w:after="0" w:before="0" w:line="240"/>
      </w:pPr>
      <w:r>
        <w:rPr>
          <w:rFonts w:ascii="Consolas" w:cs="Consolas" w:eastAsia="Consolas" w:hAnsi="Consolas"/>
          <w:color w:val="0B1F3A"/>
          <w:sz w:val="15"/>
          <w:szCs w:val="15"/>
        </w:rPr>
        <w:t xml:space="preserve">      "name": "NEPRA IT/OT compliance services",</w:t>
      </w:r>
    </w:p>
    <w:p>
      <w:pPr>
        <w:shd w:fill="F4F6FA" w:color="auto" w:val="clear"/>
        <w:spacing w:after="0" w:before="0" w:line="240"/>
      </w:pPr>
      <w:r>
        <w:rPr>
          <w:rFonts w:ascii="Consolas" w:cs="Consolas" w:eastAsia="Consolas" w:hAnsi="Consolas"/>
          <w:color w:val="0B1F3A"/>
          <w:sz w:val="15"/>
          <w:szCs w:val="15"/>
        </w:rPr>
        <w:t xml:space="preserve">      "itemListElement":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"Offer",</w:t>
      </w:r>
    </w:p>
    <w:p>
      <w:pPr>
        <w:shd w:fill="F4F6FA" w:color="auto" w:val="clear"/>
        <w:spacing w:after="0" w:before="0" w:line="240"/>
      </w:pPr>
      <w:r>
        <w:rPr>
          <w:rFonts w:ascii="Consolas" w:cs="Consolas" w:eastAsia="Consolas" w:hAnsi="Consolas"/>
          <w:color w:val="0B1F3A"/>
          <w:sz w:val="15"/>
          <w:szCs w:val="15"/>
        </w:rPr>
        <w:t xml:space="preserve">          "itemOffered": {</w:t>
      </w:r>
    </w:p>
    <w:p>
      <w:pPr>
        <w:shd w:fill="F4F6FA" w:color="auto" w:val="clear"/>
        <w:spacing w:after="0" w:before="0" w:line="240"/>
      </w:pPr>
      <w:r>
        <w:rPr>
          <w:rFonts w:ascii="Consolas" w:cs="Consolas" w:eastAsia="Consolas" w:hAnsi="Consolas"/>
          <w:color w:val="0B1F3A"/>
          <w:sz w:val="15"/>
          <w:szCs w:val="15"/>
        </w:rPr>
        <w:t xml:space="preserve">            "@type": "Service",</w:t>
      </w:r>
    </w:p>
    <w:p>
      <w:pPr>
        <w:shd w:fill="F4F6FA" w:color="auto" w:val="clear"/>
        <w:spacing w:after="0" w:before="0" w:line="240"/>
      </w:pPr>
      <w:r>
        <w:rPr>
          <w:rFonts w:ascii="Consolas" w:cs="Consolas" w:eastAsia="Consolas" w:hAnsi="Consolas"/>
          <w:color w:val="0B1F3A"/>
          <w:sz w:val="15"/>
          <w:szCs w:val="15"/>
        </w:rPr>
        <w:t xml:space="preserve">            "name": "NEPRA Compliance Audit (Regulations 4-12)"</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"Offer",</w:t>
      </w:r>
    </w:p>
    <w:p>
      <w:pPr>
        <w:shd w:fill="F4F6FA" w:color="auto" w:val="clear"/>
        <w:spacing w:after="0" w:before="0" w:line="240"/>
      </w:pPr>
      <w:r>
        <w:rPr>
          <w:rFonts w:ascii="Consolas" w:cs="Consolas" w:eastAsia="Consolas" w:hAnsi="Consolas"/>
          <w:color w:val="0B1F3A"/>
          <w:sz w:val="15"/>
          <w:szCs w:val="15"/>
        </w:rPr>
        <w:t xml:space="preserve">          "itemOffered": {</w:t>
      </w:r>
    </w:p>
    <w:p>
      <w:pPr>
        <w:shd w:fill="F4F6FA" w:color="auto" w:val="clear"/>
        <w:spacing w:after="0" w:before="0" w:line="240"/>
      </w:pPr>
      <w:r>
        <w:rPr>
          <w:rFonts w:ascii="Consolas" w:cs="Consolas" w:eastAsia="Consolas" w:hAnsi="Consolas"/>
          <w:color w:val="0B1F3A"/>
          <w:sz w:val="15"/>
          <w:szCs w:val="15"/>
        </w:rPr>
        <w:t xml:space="preserve">            "@type": "Service",</w:t>
      </w:r>
    </w:p>
    <w:p>
      <w:pPr>
        <w:shd w:fill="F4F6FA" w:color="auto" w:val="clear"/>
        <w:spacing w:after="0" w:before="0" w:line="240"/>
      </w:pPr>
      <w:r>
        <w:rPr>
          <w:rFonts w:ascii="Consolas" w:cs="Consolas" w:eastAsia="Consolas" w:hAnsi="Consolas"/>
          <w:color w:val="0B1F3A"/>
          <w:sz w:val="15"/>
          <w:szCs w:val="15"/>
        </w:rPr>
        <w:t xml:space="preserve">            "name": "IT &amp; OT VAPT Services (Regulation 6)"</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"Offer",</w:t>
      </w:r>
    </w:p>
    <w:p>
      <w:pPr>
        <w:shd w:fill="F4F6FA" w:color="auto" w:val="clear"/>
        <w:spacing w:after="0" w:before="0" w:line="240"/>
      </w:pPr>
      <w:r>
        <w:rPr>
          <w:rFonts w:ascii="Consolas" w:cs="Consolas" w:eastAsia="Consolas" w:hAnsi="Consolas"/>
          <w:color w:val="0B1F3A"/>
          <w:sz w:val="15"/>
          <w:szCs w:val="15"/>
        </w:rPr>
        <w:t xml:space="preserve">          "itemOffered": {</w:t>
      </w:r>
    </w:p>
    <w:p>
      <w:pPr>
        <w:shd w:fill="F4F6FA" w:color="auto" w:val="clear"/>
        <w:spacing w:after="0" w:before="0" w:line="240"/>
      </w:pPr>
      <w:r>
        <w:rPr>
          <w:rFonts w:ascii="Consolas" w:cs="Consolas" w:eastAsia="Consolas" w:hAnsi="Consolas"/>
          <w:color w:val="0B1F3A"/>
          <w:sz w:val="15"/>
          <w:szCs w:val="15"/>
        </w:rPr>
        <w:t xml:space="preserve">            "@type": "Service",</w:t>
      </w:r>
    </w:p>
    <w:p>
      <w:pPr>
        <w:shd w:fill="F4F6FA" w:color="auto" w:val="clear"/>
        <w:spacing w:after="0" w:before="0" w:line="240"/>
      </w:pPr>
      <w:r>
        <w:rPr>
          <w:rFonts w:ascii="Consolas" w:cs="Consolas" w:eastAsia="Consolas" w:hAnsi="Consolas"/>
          <w:color w:val="0B1F3A"/>
          <w:sz w:val="15"/>
          <w:szCs w:val="15"/>
        </w:rPr>
        <w:t xml:space="preserve">            "name": "Security Policy Framework (Regulation 4)"</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"Offer",</w:t>
      </w:r>
    </w:p>
    <w:p>
      <w:pPr>
        <w:shd w:fill="F4F6FA" w:color="auto" w:val="clear"/>
        <w:spacing w:after="0" w:before="0" w:line="240"/>
      </w:pPr>
      <w:r>
        <w:rPr>
          <w:rFonts w:ascii="Consolas" w:cs="Consolas" w:eastAsia="Consolas" w:hAnsi="Consolas"/>
          <w:color w:val="0B1F3A"/>
          <w:sz w:val="15"/>
          <w:szCs w:val="15"/>
        </w:rPr>
        <w:t xml:space="preserve">          "itemOffered": {</w:t>
      </w:r>
    </w:p>
    <w:p>
      <w:pPr>
        <w:shd w:fill="F4F6FA" w:color="auto" w:val="clear"/>
        <w:spacing w:after="0" w:before="0" w:line="240"/>
      </w:pPr>
      <w:r>
        <w:rPr>
          <w:rFonts w:ascii="Consolas" w:cs="Consolas" w:eastAsia="Consolas" w:hAnsi="Consolas"/>
          <w:color w:val="0B1F3A"/>
          <w:sz w:val="15"/>
          <w:szCs w:val="15"/>
        </w:rPr>
        <w:t xml:space="preserve">            "@type": "Service",</w:t>
      </w:r>
    </w:p>
    <w:p>
      <w:pPr>
        <w:shd w:fill="F4F6FA" w:color="auto" w:val="clear"/>
        <w:spacing w:after="0" w:before="0" w:line="240"/>
      </w:pPr>
      <w:r>
        <w:rPr>
          <w:rFonts w:ascii="Consolas" w:cs="Consolas" w:eastAsia="Consolas" w:hAnsi="Consolas"/>
          <w:color w:val="0B1F3A"/>
          <w:sz w:val="15"/>
          <w:szCs w:val="15"/>
        </w:rPr>
        <w:t xml:space="preserve">            "name": "Cybersecurity Awareness &amp; Training (Regulation 10)"</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"@context": "https://schema.org",</w:t>
      </w:r>
    </w:p>
    <w:p>
      <w:pPr>
        <w:shd w:fill="F4F6FA" w:color="auto" w:val="clear"/>
        <w:spacing w:after="0" w:before="0" w:line="240"/>
      </w:pPr>
      <w:r>
        <w:rPr>
          <w:rFonts w:ascii="Consolas" w:cs="Consolas" w:eastAsia="Consolas" w:hAnsi="Consolas"/>
          <w:color w:val="0B1F3A"/>
          <w:sz w:val="15"/>
          <w:szCs w:val="15"/>
        </w:rPr>
        <w:t xml:space="preserve">    "@type": "FAQPage",</w:t>
      </w:r>
    </w:p>
    <w:p>
      <w:pPr>
        <w:shd w:fill="F4F6FA" w:color="auto" w:val="clear"/>
        <w:spacing w:after="0" w:before="0" w:line="240"/>
      </w:pPr>
      <w:r>
        <w:rPr>
          <w:rFonts w:ascii="Consolas" w:cs="Consolas" w:eastAsia="Consolas" w:hAnsi="Consolas"/>
          <w:color w:val="0B1F3A"/>
          <w:sz w:val="15"/>
          <w:szCs w:val="15"/>
        </w:rPr>
        <w:t xml:space="preserve">    "mainEntity":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"Question",</w:t>
      </w:r>
    </w:p>
    <w:p>
      <w:pPr>
        <w:shd w:fill="F4F6FA" w:color="auto" w:val="clear"/>
        <w:spacing w:after="0" w:before="0" w:line="240"/>
      </w:pPr>
      <w:r>
        <w:rPr>
          <w:rFonts w:ascii="Consolas" w:cs="Consolas" w:eastAsia="Consolas" w:hAnsi="Consolas"/>
          <w:color w:val="0B1F3A"/>
          <w:sz w:val="15"/>
          <w:szCs w:val="15"/>
        </w:rPr>
        <w:t xml:space="preserve">        "name": "Who has to comply with NEPRA’s IT/OT security regulations?",</w:t>
      </w:r>
    </w:p>
    <w:p>
      <w:pPr>
        <w:shd w:fill="F4F6FA" w:color="auto" w:val="clear"/>
        <w:spacing w:after="0" w:before="0" w:line="240"/>
      </w:pPr>
      <w:r>
        <w:rPr>
          <w:rFonts w:ascii="Consolas" w:cs="Consolas" w:eastAsia="Consolas" w:hAnsi="Consolas"/>
          <w:color w:val="0B1F3A"/>
          <w:sz w:val="15"/>
          <w:szCs w:val="15"/>
        </w:rPr>
        <w:t xml:space="preserve">        "acceptedAnswer": {</w:t>
      </w:r>
    </w:p>
    <w:p>
      <w:pPr>
        <w:shd w:fill="F4F6FA" w:color="auto" w:val="clear"/>
        <w:spacing w:after="0" w:before="0" w:line="240"/>
      </w:pPr>
      <w:r>
        <w:rPr>
          <w:rFonts w:ascii="Consolas" w:cs="Consolas" w:eastAsia="Consolas" w:hAnsi="Consolas"/>
          <w:color w:val="0B1F3A"/>
          <w:sz w:val="15"/>
          <w:szCs w:val="15"/>
        </w:rPr>
        <w:t xml:space="preserve">          "@type": "Answer",</w:t>
      </w:r>
    </w:p>
    <w:p>
      <w:pPr>
        <w:shd w:fill="F4F6FA" w:color="auto" w:val="clear"/>
        <w:spacing w:after="0" w:before="0" w:line="240"/>
      </w:pPr>
      <w:r>
        <w:rPr>
          <w:rFonts w:ascii="Consolas" w:cs="Consolas" w:eastAsia="Consolas" w:hAnsi="Consolas"/>
          <w:color w:val="0B1F3A"/>
          <w:sz w:val="15"/>
          <w:szCs w:val="15"/>
        </w:rPr>
        <w:t xml:space="preserve">          "text": "Every NEPRA licensee in Pakistan’s power sector — generation, transmission and distribution companies. The obligations cover both corporate IT and operational technology, including SCADA, DCS, PLCs and RTUs."</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"Question",</w:t>
      </w:r>
    </w:p>
    <w:p>
      <w:pPr>
        <w:shd w:fill="F4F6FA" w:color="auto" w:val="clear"/>
        <w:spacing w:after="0" w:before="0" w:line="240"/>
      </w:pPr>
      <w:r>
        <w:rPr>
          <w:rFonts w:ascii="Consolas" w:cs="Consolas" w:eastAsia="Consolas" w:hAnsi="Consolas"/>
          <w:color w:val="0B1F3A"/>
          <w:sz w:val="15"/>
          <w:szCs w:val="15"/>
        </w:rPr>
        <w:t xml:space="preserve">        "name": "What are the NEPRA IT/OT regulations?",</w:t>
      </w:r>
    </w:p>
    <w:p>
      <w:pPr>
        <w:shd w:fill="F4F6FA" w:color="auto" w:val="clear"/>
        <w:spacing w:after="0" w:before="0" w:line="240"/>
      </w:pPr>
      <w:r>
        <w:rPr>
          <w:rFonts w:ascii="Consolas" w:cs="Consolas" w:eastAsia="Consolas" w:hAnsi="Consolas"/>
          <w:color w:val="0B1F3A"/>
          <w:sz w:val="15"/>
          <w:szCs w:val="15"/>
        </w:rPr>
        <w:t xml:space="preserve">        "acceptedAnswer": {</w:t>
      </w:r>
    </w:p>
    <w:p>
      <w:pPr>
        <w:shd w:fill="F4F6FA" w:color="auto" w:val="clear"/>
        <w:spacing w:after="0" w:before="0" w:line="240"/>
      </w:pPr>
      <w:r>
        <w:rPr>
          <w:rFonts w:ascii="Consolas" w:cs="Consolas" w:eastAsia="Consolas" w:hAnsi="Consolas"/>
          <w:color w:val="0B1F3A"/>
          <w:sz w:val="15"/>
          <w:szCs w:val="15"/>
        </w:rPr>
        <w:t xml:space="preserve">          "@type": "Answer",</w:t>
      </w:r>
    </w:p>
    <w:p>
      <w:pPr>
        <w:shd w:fill="F4F6FA" w:color="auto" w:val="clear"/>
        <w:spacing w:after="0" w:before="0" w:line="240"/>
      </w:pPr>
      <w:r>
        <w:rPr>
          <w:rFonts w:ascii="Consolas" w:cs="Consolas" w:eastAsia="Consolas" w:hAnsi="Consolas"/>
          <w:color w:val="0B1F3A"/>
          <w:sz w:val="15"/>
          <w:szCs w:val="15"/>
        </w:rPr>
        <w:t xml:space="preserve">          "text": "The NEPRA (Security of Information Technology and Operational Technology) Regulations, 2022 (SRO 1708(I)/2022) set the mandatory cybersecurity framework for NEPRA licensees. They cover governance and policy, security controls, risk and vulnerability assessment, data integrity, audit support, monitoring and incident response, training, regulatory reporting, and coordination with PowerCERT."</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"Question",</w:t>
      </w:r>
    </w:p>
    <w:p>
      <w:pPr>
        <w:shd w:fill="F4F6FA" w:color="auto" w:val="clear"/>
        <w:spacing w:after="0" w:before="0" w:line="240"/>
      </w:pPr>
      <w:r>
        <w:rPr>
          <w:rFonts w:ascii="Consolas" w:cs="Consolas" w:eastAsia="Consolas" w:hAnsi="Consolas"/>
          <w:color w:val="0B1F3A"/>
          <w:sz w:val="15"/>
          <w:szCs w:val="15"/>
        </w:rPr>
        <w:t xml:space="preserve">        "name": "How quickly must a cyber incident be reported to NEPRA?",</w:t>
      </w:r>
    </w:p>
    <w:p>
      <w:pPr>
        <w:shd w:fill="F4F6FA" w:color="auto" w:val="clear"/>
        <w:spacing w:after="0" w:before="0" w:line="240"/>
      </w:pPr>
      <w:r>
        <w:rPr>
          <w:rFonts w:ascii="Consolas" w:cs="Consolas" w:eastAsia="Consolas" w:hAnsi="Consolas"/>
          <w:color w:val="0B1F3A"/>
          <w:sz w:val="15"/>
          <w:szCs w:val="15"/>
        </w:rPr>
        <w:t xml:space="preserve">        "acceptedAnswer": {</w:t>
      </w:r>
    </w:p>
    <w:p>
      <w:pPr>
        <w:shd w:fill="F4F6FA" w:color="auto" w:val="clear"/>
        <w:spacing w:after="0" w:before="0" w:line="240"/>
      </w:pPr>
      <w:r>
        <w:rPr>
          <w:rFonts w:ascii="Consolas" w:cs="Consolas" w:eastAsia="Consolas" w:hAnsi="Consolas"/>
          <w:color w:val="0B1F3A"/>
          <w:sz w:val="15"/>
          <w:szCs w:val="15"/>
        </w:rPr>
        <w:t xml:space="preserve">          "@type": "Answer",</w:t>
      </w:r>
    </w:p>
    <w:p>
      <w:pPr>
        <w:shd w:fill="F4F6FA" w:color="auto" w:val="clear"/>
        <w:spacing w:after="0" w:before="0" w:line="240"/>
      </w:pPr>
      <w:r>
        <w:rPr>
          <w:rFonts w:ascii="Consolas" w:cs="Consolas" w:eastAsia="Consolas" w:hAnsi="Consolas"/>
          <w:color w:val="0B1F3A"/>
          <w:sz w:val="15"/>
          <w:szCs w:val="15"/>
        </w:rPr>
        <w:t xml:space="preserve">          "text": "Significant incidents must be reported within 72 hours, in addition to quarterly cybersecurity incident reporting to the Authority. Incidents affecting OT are also reported to the National CERT and PowerCERT."</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"Question",</w:t>
      </w:r>
    </w:p>
    <w:p>
      <w:pPr>
        <w:shd w:fill="F4F6FA" w:color="auto" w:val="clear"/>
        <w:spacing w:after="0" w:before="0" w:line="240"/>
      </w:pPr>
      <w:r>
        <w:rPr>
          <w:rFonts w:ascii="Consolas" w:cs="Consolas" w:eastAsia="Consolas" w:hAnsi="Consolas"/>
          <w:color w:val="0B1F3A"/>
          <w:sz w:val="15"/>
          <w:szCs w:val="15"/>
        </w:rPr>
        <w:t xml:space="preserve">        "name": "Will a compliance audit disrupt plant or SCADA operations?",</w:t>
      </w:r>
    </w:p>
    <w:p>
      <w:pPr>
        <w:shd w:fill="F4F6FA" w:color="auto" w:val="clear"/>
        <w:spacing w:after="0" w:before="0" w:line="240"/>
      </w:pPr>
      <w:r>
        <w:rPr>
          <w:rFonts w:ascii="Consolas" w:cs="Consolas" w:eastAsia="Consolas" w:hAnsi="Consolas"/>
          <w:color w:val="0B1F3A"/>
          <w:sz w:val="15"/>
          <w:szCs w:val="15"/>
        </w:rPr>
        <w:t xml:space="preserve">        "acceptedAnswer": {</w:t>
      </w:r>
    </w:p>
    <w:p>
      <w:pPr>
        <w:shd w:fill="F4F6FA" w:color="auto" w:val="clear"/>
        <w:spacing w:after="0" w:before="0" w:line="240"/>
      </w:pPr>
      <w:r>
        <w:rPr>
          <w:rFonts w:ascii="Consolas" w:cs="Consolas" w:eastAsia="Consolas" w:hAnsi="Consolas"/>
          <w:color w:val="0B1F3A"/>
          <w:sz w:val="15"/>
          <w:szCs w:val="15"/>
        </w:rPr>
        <w:t xml:space="preserve">          "@type": "Answer",</w:t>
      </w:r>
    </w:p>
    <w:p>
      <w:pPr>
        <w:shd w:fill="F4F6FA" w:color="auto" w:val="clear"/>
        <w:spacing w:after="0" w:before="0" w:line="240"/>
      </w:pPr>
      <w:r>
        <w:rPr>
          <w:rFonts w:ascii="Consolas" w:cs="Consolas" w:eastAsia="Consolas" w:hAnsi="Consolas"/>
          <w:color w:val="0B1F3A"/>
          <w:sz w:val="15"/>
          <w:szCs w:val="15"/>
        </w:rPr>
        <w:t xml:space="preserve">          "text": "It should not. A properly scoped NEPRA audit assesses OT passively — reviewing configurations, segmentation, access and logs rather than actively scanning live control systems. No plant downtime is required."</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"Question",</w:t>
      </w:r>
    </w:p>
    <w:p>
      <w:pPr>
        <w:shd w:fill="F4F6FA" w:color="auto" w:val="clear"/>
        <w:spacing w:after="0" w:before="0" w:line="240"/>
      </w:pPr>
      <w:r>
        <w:rPr>
          <w:rFonts w:ascii="Consolas" w:cs="Consolas" w:eastAsia="Consolas" w:hAnsi="Consolas"/>
          <w:color w:val="0B1F3A"/>
          <w:sz w:val="15"/>
          <w:szCs w:val="15"/>
        </w:rPr>
        <w:t xml:space="preserve">        "name": "How long does a NEPRA IT/OT compliance audit take?",</w:t>
      </w:r>
    </w:p>
    <w:p>
      <w:pPr>
        <w:shd w:fill="F4F6FA" w:color="auto" w:val="clear"/>
        <w:spacing w:after="0" w:before="0" w:line="240"/>
      </w:pPr>
      <w:r>
        <w:rPr>
          <w:rFonts w:ascii="Consolas" w:cs="Consolas" w:eastAsia="Consolas" w:hAnsi="Consolas"/>
          <w:color w:val="0B1F3A"/>
          <w:sz w:val="15"/>
          <w:szCs w:val="15"/>
        </w:rPr>
        <w:t xml:space="preserve">        "acceptedAnswer": {</w:t>
      </w:r>
    </w:p>
    <w:p>
      <w:pPr>
        <w:shd w:fill="F4F6FA" w:color="auto" w:val="clear"/>
        <w:spacing w:after="0" w:before="0" w:line="240"/>
      </w:pPr>
      <w:r>
        <w:rPr>
          <w:rFonts w:ascii="Consolas" w:cs="Consolas" w:eastAsia="Consolas" w:hAnsi="Consolas"/>
          <w:color w:val="0B1F3A"/>
          <w:sz w:val="15"/>
          <w:szCs w:val="15"/>
        </w:rPr>
        <w:t xml:space="preserve">          "@type": "Answer",</w:t>
      </w:r>
    </w:p>
    <w:p>
      <w:pPr>
        <w:shd w:fill="F4F6FA" w:color="auto" w:val="clear"/>
        <w:spacing w:after="0" w:before="0" w:line="240"/>
      </w:pPr>
      <w:r>
        <w:rPr>
          <w:rFonts w:ascii="Consolas" w:cs="Consolas" w:eastAsia="Consolas" w:hAnsi="Consolas"/>
          <w:color w:val="0B1F3A"/>
          <w:sz w:val="15"/>
          <w:szCs w:val="15"/>
        </w:rPr>
        <w:t xml:space="preserve">          "text": "For a single-site licensee, roughly three weeks of engagement across scoping, fieldwork, gap analysis and reporting. Multi-site licensees take longer in proportion to the number of plants and the size of the OT estate."</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"Question",</w:t>
      </w:r>
    </w:p>
    <w:p>
      <w:pPr>
        <w:shd w:fill="F4F6FA" w:color="auto" w:val="clear"/>
        <w:spacing w:after="0" w:before="0" w:line="240"/>
      </w:pPr>
      <w:r>
        <w:rPr>
          <w:rFonts w:ascii="Consolas" w:cs="Consolas" w:eastAsia="Consolas" w:hAnsi="Consolas"/>
          <w:color w:val="0B1F3A"/>
          <w:sz w:val="15"/>
          <w:szCs w:val="15"/>
        </w:rPr>
        <w:t xml:space="preserve">        "name": "What happens if NEPRA directs a technical audit?",</w:t>
      </w:r>
    </w:p>
    <w:p>
      <w:pPr>
        <w:shd w:fill="F4F6FA" w:color="auto" w:val="clear"/>
        <w:spacing w:after="0" w:before="0" w:line="240"/>
      </w:pPr>
      <w:r>
        <w:rPr>
          <w:rFonts w:ascii="Consolas" w:cs="Consolas" w:eastAsia="Consolas" w:hAnsi="Consolas"/>
          <w:color w:val="0B1F3A"/>
          <w:sz w:val="15"/>
          <w:szCs w:val="15"/>
        </w:rPr>
        <w:t xml:space="preserve">        "acceptedAnswer": {</w:t>
      </w:r>
    </w:p>
    <w:p>
      <w:pPr>
        <w:shd w:fill="F4F6FA" w:color="auto" w:val="clear"/>
        <w:spacing w:after="0" w:before="0" w:line="240"/>
      </w:pPr>
      <w:r>
        <w:rPr>
          <w:rFonts w:ascii="Consolas" w:cs="Consolas" w:eastAsia="Consolas" w:hAnsi="Consolas"/>
          <w:color w:val="0B1F3A"/>
          <w:sz w:val="15"/>
          <w:szCs w:val="15"/>
        </w:rPr>
        <w:t xml:space="preserve">          "@type": "Answer",</w:t>
      </w:r>
    </w:p>
    <w:p>
      <w:pPr>
        <w:shd w:fill="F4F6FA" w:color="auto" w:val="clear"/>
        <w:spacing w:after="0" w:before="0" w:line="240"/>
      </w:pPr>
      <w:r>
        <w:rPr>
          <w:rFonts w:ascii="Consolas" w:cs="Consolas" w:eastAsia="Consolas" w:hAnsi="Consolas"/>
          <w:color w:val="0B1F3A"/>
          <w:sz w:val="15"/>
          <w:szCs w:val="15"/>
        </w:rPr>
        <w:t xml:space="preserve">          "text": "Regulation 8 requires licensees to support an Authority-directed technical audit and produce evidence. In practice, that means having an organized evidence file — policies, asset inventory, access records, patch and backup logs, and incident records — ready before you are asked."</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"@context": "https://schema.org",</w:t>
      </w:r>
    </w:p>
    <w:p>
      <w:pPr>
        <w:shd w:fill="F4F6FA" w:color="auto" w:val="clear"/>
        <w:spacing w:after="0" w:before="0" w:line="240"/>
      </w:pPr>
      <w:r>
        <w:rPr>
          <w:rFonts w:ascii="Consolas" w:cs="Consolas" w:eastAsia="Consolas" w:hAnsi="Consolas"/>
          <w:color w:val="0B1F3A"/>
          <w:sz w:val="15"/>
          <w:szCs w:val="15"/>
        </w:rPr>
        <w:t xml:space="preserve">    "@type": "BreadcrumbList",</w:t>
      </w:r>
    </w:p>
    <w:p>
      <w:pPr>
        <w:shd w:fill="F4F6FA" w:color="auto" w:val="clear"/>
        <w:spacing w:after="0" w:before="0" w:line="240"/>
      </w:pPr>
      <w:r>
        <w:rPr>
          <w:rFonts w:ascii="Consolas" w:cs="Consolas" w:eastAsia="Consolas" w:hAnsi="Consolas"/>
          <w:color w:val="0B1F3A"/>
          <w:sz w:val="15"/>
          <w:szCs w:val="15"/>
        </w:rPr>
        <w:t xml:space="preserve">    "itemListElement":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"ListItem",</w:t>
      </w:r>
    </w:p>
    <w:p>
      <w:pPr>
        <w:shd w:fill="F4F6FA" w:color="auto" w:val="clear"/>
        <w:spacing w:after="0" w:before="0" w:line="240"/>
      </w:pPr>
      <w:r>
        <w:rPr>
          <w:rFonts w:ascii="Consolas" w:cs="Consolas" w:eastAsia="Consolas" w:hAnsi="Consolas"/>
          <w:color w:val="0B1F3A"/>
          <w:sz w:val="15"/>
          <w:szCs w:val="15"/>
        </w:rPr>
        <w:t xml:space="preserve">        "position": 1,</w:t>
      </w:r>
    </w:p>
    <w:p>
      <w:pPr>
        <w:shd w:fill="F4F6FA" w:color="auto" w:val="clear"/>
        <w:spacing w:after="0" w:before="0" w:line="240"/>
      </w:pPr>
      <w:r>
        <w:rPr>
          <w:rFonts w:ascii="Consolas" w:cs="Consolas" w:eastAsia="Consolas" w:hAnsi="Consolas"/>
          <w:color w:val="0B1F3A"/>
          <w:sz w:val="15"/>
          <w:szCs w:val="15"/>
        </w:rPr>
        <w:t xml:space="preserve">        "name": "Home",</w:t>
      </w:r>
    </w:p>
    <w:p>
      <w:pPr>
        <w:shd w:fill="F4F6FA" w:color="auto" w:val="clear"/>
        <w:spacing w:after="0" w:before="0" w:line="240"/>
      </w:pPr>
      <w:r>
        <w:rPr>
          <w:rFonts w:ascii="Consolas" w:cs="Consolas" w:eastAsia="Consolas" w:hAnsi="Consolas"/>
          <w:color w:val="0B1F3A"/>
          <w:sz w:val="15"/>
          <w:szCs w:val="15"/>
        </w:rPr>
        <w:t xml:space="preserve">        "item": "https://www.xloopdigital.com/"</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"ListItem",</w:t>
      </w:r>
    </w:p>
    <w:p>
      <w:pPr>
        <w:shd w:fill="F4F6FA" w:color="auto" w:val="clear"/>
        <w:spacing w:after="0" w:before="0" w:line="240"/>
      </w:pPr>
      <w:r>
        <w:rPr>
          <w:rFonts w:ascii="Consolas" w:cs="Consolas" w:eastAsia="Consolas" w:hAnsi="Consolas"/>
          <w:color w:val="0B1F3A"/>
          <w:sz w:val="15"/>
          <w:szCs w:val="15"/>
        </w:rPr>
        <w:t xml:space="preserve">        "position": 2,</w:t>
      </w:r>
    </w:p>
    <w:p>
      <w:pPr>
        <w:shd w:fill="F4F6FA" w:color="auto" w:val="clear"/>
        <w:spacing w:after="0" w:before="0" w:line="240"/>
      </w:pPr>
      <w:r>
        <w:rPr>
          <w:rFonts w:ascii="Consolas" w:cs="Consolas" w:eastAsia="Consolas" w:hAnsi="Consolas"/>
          <w:color w:val="0B1F3A"/>
          <w:sz w:val="15"/>
          <w:szCs w:val="15"/>
        </w:rPr>
        <w:t xml:space="preserve">        "name": "Cybersecurity Services",</w:t>
      </w:r>
    </w:p>
    <w:p>
      <w:pPr>
        <w:shd w:fill="F4F6FA" w:color="auto" w:val="clear"/>
        <w:spacing w:after="0" w:before="0" w:line="240"/>
      </w:pPr>
      <w:r>
        <w:rPr>
          <w:rFonts w:ascii="Consolas" w:cs="Consolas" w:eastAsia="Consolas" w:hAnsi="Consolas"/>
          <w:color w:val="0B1F3A"/>
          <w:sz w:val="15"/>
          <w:szCs w:val="15"/>
        </w:rPr>
        <w:t xml:space="preserve">        "item": "https://www.xloopdigital.com/services/cyber-security-service"</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"@type": "ListItem",</w:t>
      </w:r>
    </w:p>
    <w:p>
      <w:pPr>
        <w:shd w:fill="F4F6FA" w:color="auto" w:val="clear"/>
        <w:spacing w:after="0" w:before="0" w:line="240"/>
      </w:pPr>
      <w:r>
        <w:rPr>
          <w:rFonts w:ascii="Consolas" w:cs="Consolas" w:eastAsia="Consolas" w:hAnsi="Consolas"/>
          <w:color w:val="0B1F3A"/>
          <w:sz w:val="15"/>
          <w:szCs w:val="15"/>
        </w:rPr>
        <w:t xml:space="preserve">        "position": 3,</w:t>
      </w:r>
    </w:p>
    <w:p>
      <w:pPr>
        <w:shd w:fill="F4F6FA" w:color="auto" w:val="clear"/>
        <w:spacing w:after="0" w:before="0" w:line="240"/>
      </w:pPr>
      <w:r>
        <w:rPr>
          <w:rFonts w:ascii="Consolas" w:cs="Consolas" w:eastAsia="Consolas" w:hAnsi="Consolas"/>
          <w:color w:val="0B1F3A"/>
          <w:sz w:val="15"/>
          <w:szCs w:val="15"/>
        </w:rPr>
        <w:t xml:space="preserve">        "name": "NEPRA IT/OT Compliance",</w:t>
      </w:r>
    </w:p>
    <w:p>
      <w:pPr>
        <w:shd w:fill="F4F6FA" w:color="auto" w:val="clear"/>
        <w:spacing w:after="0" w:before="0" w:line="240"/>
      </w:pPr>
      <w:r>
        <w:rPr>
          <w:rFonts w:ascii="Consolas" w:cs="Consolas" w:eastAsia="Consolas" w:hAnsi="Consolas"/>
          <w:color w:val="0B1F3A"/>
          <w:sz w:val="15"/>
          <w:szCs w:val="15"/>
        </w:rPr>
        <w:t xml:space="preserve">        "item": "https://www.xloopdigital.com/services/nepra"</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  }</w:t>
      </w:r>
    </w:p>
    <w:p>
      <w:pPr>
        <w:shd w:fill="F4F6FA" w:color="auto" w:val="clear"/>
        <w:spacing w:after="0" w:before="0" w:line="240"/>
      </w:pPr>
      <w:r>
        <w:rPr>
          <w:rFonts w:ascii="Consolas" w:cs="Consolas" w:eastAsia="Consolas" w:hAnsi="Consolas"/>
          <w:color w:val="0B1F3A"/>
          <w:sz w:val="15"/>
          <w:szCs w:val="15"/>
        </w:rPr>
        <w:t xml:space="preserv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472"/>
        <w:sz w:val="16"/>
        <w:szCs w:val="16"/>
      </w:rPr>
      <w:t xml:space="preserve">xSecurity nav + NEPRA / OT brief  ·  v1.2  ·  page </w:t>
    </w: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bullet"/>
      <w:lvlText w:val="☐"/>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0B1F3A"/>
      <w:sz w:val="40"/>
      <w:szCs w:val="40"/>
    </w:rPr>
  </w:style>
  <w:style w:type="paragraph" w:styleId="Heading1">
    <w:name w:val="Heading 1"/>
    <w:basedOn w:val="Normal"/>
    <w:next w:val="Normal"/>
    <w:qFormat/>
    <w:pPr>
      <w:keepNext/>
      <w:pBdr>
        <w:bottom w:val="single" w:color="1E5BFF" w:sz="6" w:space="4"/>
      </w:pBdr>
      <w:spacing w:after="140" w:before="360"/>
      <w:outlineLvl w:val="0"/>
    </w:pPr>
    <w:rPr>
      <w:rFonts w:ascii="Calibri" w:cs="Calibri" w:eastAsia="Calibri" w:hAnsi="Calibri"/>
      <w:b/>
      <w:bCs/>
      <w:color w:val="0B1F3A"/>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0B1F3A"/>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1E5BF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xSecurity Navigation + NEPRA / OT Security Brief</dc:title>
  <dc:creator>Sana Qazi</dc:creator>
  <cp:lastModifiedBy>Un-named</cp:lastModifiedBy>
  <cp:revision>1</cp:revision>
  <dcterms:created xsi:type="dcterms:W3CDTF">2026-10-02T05:02:49.200Z</dcterms:created>
  <dcterms:modified xsi:type="dcterms:W3CDTF">2026-10-02T05:02:49.211Z</dcterms:modified>
</cp:coreProperties>
</file>

<file path=docProps/custom.xml><?xml version="1.0" encoding="utf-8"?>
<Properties xmlns="http://schemas.openxmlformats.org/officeDocument/2006/custom-properties" xmlns:vt="http://schemas.openxmlformats.org/officeDocument/2006/docPropsVTypes"/>
</file>