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EA01BD7" w:rsidR="00831EA1" w:rsidRPr="00240098" w:rsidRDefault="009824A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76E5CF1" w:rsidR="00831EA1" w:rsidRPr="00240098" w:rsidRDefault="009824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Dadu Energy Limited</w:t>
      </w:r>
    </w:p>
    <w:p w14:paraId="31D70B49" w14:textId="26E20551" w:rsidR="00240098" w:rsidRDefault="009824A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Merewether Rd, Civil Lines, Club Road, Karachi 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DBCBDB2" w:rsidR="00831EA1" w:rsidRPr="00240098" w:rsidRDefault="001833E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3E3334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824A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2D84D1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833E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824AB">
        <w:rPr>
          <w:rFonts w:ascii="Poppins" w:hAnsi="Poppins" w:cs="Poppins"/>
          <w:sz w:val="19"/>
          <w:szCs w:val="19"/>
        </w:rPr>
        <w:t>Dadu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BE98E3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833E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354C5D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824AB">
        <w:rPr>
          <w:rFonts w:ascii="Poppins" w:eastAsia="Calibri" w:hAnsi="Poppins" w:cs="Poppins"/>
          <w:color w:val="3A3A3A"/>
          <w:sz w:val="19"/>
          <w:szCs w:val="19"/>
        </w:rPr>
        <w:t>Dadu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833E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824AB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