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83B8BD9" w:rsidR="00831EA1" w:rsidRPr="00240098" w:rsidRDefault="001E204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18D23733" w:rsidR="00831EA1" w:rsidRPr="00240098" w:rsidRDefault="001E204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3480F93" w:rsidR="00240098" w:rsidRDefault="001E204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HUBCO Narowal Energy Ltd</w:t>
      </w:r>
    </w:p>
    <w:p w14:paraId="04C3DDFA" w14:textId="494D9D09" w:rsidR="00FD4F09" w:rsidRDefault="001E204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0A4BD46" w:rsidR="00831EA1" w:rsidRPr="00240098" w:rsidRDefault="008753C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370D5DA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E2040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7991B2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753C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E2040">
        <w:rPr>
          <w:rFonts w:ascii="Poppins" w:hAnsi="Poppins" w:cs="Poppins"/>
          <w:sz w:val="19"/>
          <w:szCs w:val="19"/>
        </w:rPr>
        <w:t>HUBCO Narowal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4A544D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753C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E06D98D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E2040">
        <w:rPr>
          <w:rFonts w:ascii="Poppins" w:eastAsia="Calibri" w:hAnsi="Poppins" w:cs="Poppins"/>
          <w:color w:val="3A3A3A"/>
          <w:sz w:val="19"/>
          <w:szCs w:val="19"/>
        </w:rPr>
        <w:t>HUBCO Narowal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E2040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753CF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