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00000"/>
          <w:sz w:val="20"/>
          <w:szCs w:val="20"/>
        </w:rPr>
        <w:t xml:space="preserve">xLoop  ·  Sales Strategy</w:t>
      </w:r>
    </w:p>
    <w:p>
      <w:pPr>
        <w:spacing w:after="100"/>
      </w:pPr>
      <w:r>
        <w:rPr>
          <w:rFonts w:ascii="Calibri" w:cs="Calibri" w:eastAsia="Calibri" w:hAnsi="Calibri"/>
          <w:b/>
          <w:bCs/>
          <w:color w:val="1F3864"/>
          <w:sz w:val="44"/>
          <w:szCs w:val="44"/>
        </w:rPr>
        <w:t xml:space="preserve">Bucket 1: Where Employment Law Forces Companies to Buy Capacity</w:t>
      </w:r>
    </w:p>
    <w:p>
      <w:pPr>
        <w:spacing w:after="260"/>
      </w:pPr>
      <w:r>
        <w:rPr>
          <w:rFonts w:ascii="Calibri" w:cs="Calibri" w:eastAsia="Calibri" w:hAnsi="Calibri"/>
          <w:color w:val="595959"/>
          <w:sz w:val="24"/>
          <w:szCs w:val="24"/>
        </w:rPr>
        <w:t xml:space="preserve">A ranked regional target list for xTalent lead generation</w:t>
      </w:r>
    </w:p>
    <w:p>
      <w:pPr>
        <w:pBdr>
          <w:bottom w:val="single" w:color="BFBFBF" w:sz="6" w:space="1"/>
        </w:pBdr>
        <w:spacing w:after="200" w:before="60"/>
      </w:pPr>
      <w:r>
        <w:rPr>
          <w:sz w:val="2"/>
          <w:szCs w:val="2"/>
        </w:rPr>
        <w:t xml:space="preserve"/>
      </w:r>
    </w:p>
    <w:tbl>
      <w:tblPr>
        <w:tblW w:type="dxa" w:w="9360"/>
        <w:tblBorders>
          <w:top w:val="single" w:color="BFBFBF" w:sz="4"/>
          <w:left w:val="none" w:color="FFFFFF" w:sz="0"/>
          <w:bottom w:val="single" w:color="BFBFBF" w:sz="4"/>
          <w:right w:val="none" w:color="FFFFFF" w:sz="0"/>
          <w:insideH w:val="single" w:color="BFBFBF" w:sz="2"/>
          <w:insideV w:val="none" w:color="FFFFFF" w:sz="0"/>
        </w:tblBorders>
      </w:tblPr>
      <w:tblGrid>
        <w:gridCol w:w="2100"/>
        <w:gridCol w:w="7260"/>
      </w:tblGrid>
      <w:tr>
        <w:trPr>
          <w:tblHeader/>
        </w:trPr>
        <w:tc>
          <w:tcPr>
            <w:tcW w:type="dxa" w:w="2100"/>
            <w:shd w:fill="1F3864" w:color="auto" w:val="clear"/>
            <w:tcMar>
              <w:top w:type="dxa" w:w="70"/>
              <w:left w:type="dxa" w:w="100"/>
              <w:bottom w:type="dxa" w:w="70"/>
              <w:right w:type="dxa" w:w="100"/>
            </w:tcMar>
          </w:tcPr>
          <w:p>
            <w:pPr>
              <w:spacing w:after="0" w:before="0" w:line="240"/>
            </w:pPr>
            <w:r>
              <w:rPr>
                <w:rFonts w:ascii="Calibri" w:cs="Calibri" w:eastAsia="Calibri" w:hAnsi="Calibri"/>
                <w:b/>
                <w:bCs/>
                <w:color w:val="FFFFFF"/>
                <w:sz w:val="18"/>
                <w:szCs w:val="18"/>
              </w:rPr>
              <w:t xml:space="preserve">Field</w:t>
            </w:r>
          </w:p>
        </w:tc>
        <w:tc>
          <w:tcPr>
            <w:tcW w:type="dxa" w:w="7260"/>
            <w:shd w:fill="1F3864" w:color="auto" w:val="clear"/>
            <w:tcMar>
              <w:top w:type="dxa" w:w="70"/>
              <w:left w:type="dxa" w:w="100"/>
              <w:bottom w:type="dxa" w:w="70"/>
              <w:right w:type="dxa" w:w="100"/>
            </w:tcMar>
          </w:tcPr>
          <w:p>
            <w:pPr>
              <w:spacing w:after="0" w:before="0" w:line="240"/>
            </w:pPr>
            <w:r>
              <w:rPr>
                <w:rFonts w:ascii="Calibri" w:cs="Calibri" w:eastAsia="Calibri" w:hAnsi="Calibri"/>
                <w:b/>
                <w:bCs/>
                <w:color w:val="FFFFFF"/>
                <w:sz w:val="18"/>
                <w:szCs w:val="18"/>
              </w:rPr>
              <w:t xml:space="preserve">Detail</w:t>
            </w:r>
          </w:p>
        </w:tc>
      </w:tr>
      <w:tr>
        <w:tc>
          <w:tcPr>
            <w:tcW w:type="dxa" w:w="210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Prepared for</w:t>
            </w:r>
          </w:p>
        </w:tc>
        <w:tc>
          <w:tcPr>
            <w:tcW w:type="dxa" w:w="726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Head of Sales — regional division for lead generation</w:t>
            </w:r>
          </w:p>
        </w:tc>
      </w:tr>
      <w:tr>
        <w:tc>
          <w:tcPr>
            <w:tcW w:type="dxa" w:w="2100"/>
            <w:shd w:fill="F2F4F8" w:color="auto" w:val="clear"/>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Date</w:t>
            </w:r>
          </w:p>
        </w:tc>
        <w:tc>
          <w:tcPr>
            <w:tcW w:type="dxa" w:w="726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7 September 2026</w:t>
            </w:r>
          </w:p>
        </w:tc>
      </w:tr>
      <w:tr>
        <w:tc>
          <w:tcPr>
            <w:tcW w:type="dxa" w:w="210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Scope</w:t>
            </w:r>
          </w:p>
        </w:tc>
        <w:tc>
          <w:tcPr>
            <w:tcW w:type="dxa" w:w="726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Bucket 1 only. Bucket 2 was not received and is not covered here.</w:t>
            </w:r>
          </w:p>
        </w:tc>
      </w:tr>
      <w:tr>
        <w:tc>
          <w:tcPr>
            <w:tcW w:type="dxa" w:w="2100"/>
            <w:shd w:fill="F2F4F8" w:color="auto" w:val="clear"/>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Applies to</w:t>
            </w:r>
          </w:p>
        </w:tc>
        <w:tc>
          <w:tcPr>
            <w:tcW w:type="dxa" w:w="726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xTalent — specialist engineering capacity delivered from the Karachi ODC</w:t>
            </w:r>
          </w:p>
        </w:tc>
      </w:tr>
      <w:tr>
        <w:tc>
          <w:tcPr>
            <w:tcW w:type="dxa" w:w="210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Basis</w:t>
            </w:r>
          </w:p>
        </w:tc>
        <w:tc>
          <w:tcPr>
            <w:tcW w:type="dxa" w:w="726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Eurostat, OECD, IMF, ManpowerGroup and statute-level legal review. Nothing is estimated except where marked.</w:t>
            </w:r>
          </w:p>
        </w:tc>
      </w:tr>
    </w:tbl>
    <w:p>
      <w:pPr>
        <w:spacing w:before="240"/>
      </w:pPr>
      <w:r>
        <w:br w:type="page"/>
      </w:r>
    </w:p>
    <w:p>
      <w:pPr>
        <w:pStyle w:val="Heading1"/>
        <w:spacing w:after="160" w:before="360"/>
      </w:pPr>
      <w:r>
        <w:rPr>
          <w:rFonts w:ascii="Calibri" w:cs="Calibri" w:eastAsia="Calibri" w:hAnsi="Calibri"/>
          <w:b/>
          <w:bCs/>
          <w:color w:val="1F3864"/>
          <w:sz w:val="30"/>
          <w:szCs w:val="30"/>
        </w:rPr>
        <w:t xml:space="preserve">1.  In one page</w:t>
      </w:r>
    </w:p>
    <w:p>
      <w:pPr>
        <w:spacing w:after="120" w:before="0" w:line="276"/>
      </w:pPr>
      <w:r>
        <w:rPr>
          <w:rFonts w:ascii="Calibri" w:cs="Calibri" w:eastAsia="Calibri" w:hAnsi="Calibri"/>
          <w:b/>
          <w:bCs/>
          <w:color w:val="000000"/>
          <w:sz w:val="20"/>
          <w:szCs w:val="20"/>
        </w:rPr>
        <w:t xml:space="preserve">The brief’s logic is sound. </w:t>
      </w:r>
      <w:r>
        <w:rPr>
          <w:rFonts w:ascii="Calibri" w:cs="Calibri" w:eastAsia="Calibri" w:hAnsi="Calibri"/>
          <w:color w:val="000000"/>
          <w:sz w:val="20"/>
          <w:szCs w:val="20"/>
        </w:rPr>
        <w:t xml:space="preserve">Where a company cannot hire quickly and cannot exit a hire cheaply, permanent headcount becomes a high-risk asset and contracted delivery capacity becomes the rational alternative. That is the standard structural driver of offshore services demand, and the data supports it.</w:t>
      </w:r>
    </w:p>
    <w:p>
      <w:pPr>
        <w:spacing w:after="120" w:before="0" w:line="276"/>
      </w:pPr>
      <w:r>
        <w:rPr>
          <w:rFonts w:ascii="Calibri" w:cs="Calibri" w:eastAsia="Calibri" w:hAnsi="Calibri"/>
          <w:b/>
          <w:bCs/>
          <w:color w:val="000000"/>
          <w:sz w:val="20"/>
          <w:szCs w:val="20"/>
        </w:rPr>
        <w:t xml:space="preserve">One of the three tests needs changing. </w:t>
      </w:r>
      <w:r>
        <w:rPr>
          <w:rFonts w:ascii="Calibri" w:cs="Calibri" w:eastAsia="Calibri" w:hAnsi="Calibri"/>
          <w:color w:val="000000"/>
          <w:sz w:val="20"/>
          <w:szCs w:val="20"/>
        </w:rPr>
        <w:t xml:space="preserve">In Europe today, the markets with the worst technology talent shortage are among the slowest-growing economies, and the fastest-growing economies have the loosest labour markets. Read literally, “thriving economy” deletes exactly the markets the talent test selects. Substituting </w:t>
      </w:r>
      <w:r>
        <w:rPr>
          <w:rFonts w:ascii="Calibri" w:cs="Calibri" w:eastAsia="Calibri" w:hAnsi="Calibri"/>
          <w:b/>
          <w:bCs/>
          <w:color w:val="000000"/>
          <w:sz w:val="20"/>
          <w:szCs w:val="20"/>
        </w:rPr>
        <w:t xml:space="preserve">growing IT budget</w:t>
      </w:r>
      <w:r>
        <w:rPr>
          <w:rFonts w:ascii="Calibri" w:cs="Calibri" w:eastAsia="Calibri" w:hAnsi="Calibri"/>
          <w:color w:val="000000"/>
          <w:sz w:val="20"/>
          <w:szCs w:val="20"/>
        </w:rPr>
        <w:t xml:space="preserve"> for </w:t>
      </w:r>
      <w:r>
        <w:rPr>
          <w:rFonts w:ascii="Calibri" w:cs="Calibri" w:eastAsia="Calibri" w:hAnsi="Calibri"/>
          <w:i/>
          <w:iCs/>
          <w:color w:val="000000"/>
          <w:sz w:val="20"/>
          <w:szCs w:val="20"/>
        </w:rPr>
        <w:t xml:space="preserve">growing economy</w:t>
      </w:r>
      <w:r>
        <w:rPr>
          <w:rFonts w:ascii="Calibri" w:cs="Calibri" w:eastAsia="Calibri" w:hAnsi="Calibri"/>
          <w:color w:val="000000"/>
          <w:sz w:val="20"/>
          <w:szCs w:val="20"/>
        </w:rPr>
        <w:t xml:space="preserve"> resolves it: European IT spending is forecast to rise 11.1% in 2026 against roughly 1% GDP growth.</w:t>
      </w:r>
    </w:p>
    <w:p>
      <w:pPr>
        <w:spacing w:after="120" w:before="0" w:line="276"/>
      </w:pPr>
      <w:r>
        <w:rPr>
          <w:rFonts w:ascii="Calibri" w:cs="Calibri" w:eastAsia="Calibri" w:hAnsi="Calibri"/>
          <w:b/>
          <w:bCs/>
          <w:color w:val="000000"/>
          <w:sz w:val="20"/>
          <w:szCs w:val="20"/>
        </w:rPr>
        <w:t xml:space="preserve">The ranking. </w:t>
      </w:r>
      <w:r>
        <w:rPr>
          <w:rFonts w:ascii="Calibri" w:cs="Calibri" w:eastAsia="Calibri" w:hAnsi="Calibri"/>
          <w:color w:val="000000"/>
          <w:sz w:val="20"/>
          <w:szCs w:val="20"/>
        </w:rPr>
        <w:t xml:space="preserve">On unmet technology hiring need, employment-law rigidity and addressable account volume:</w:t>
      </w:r>
    </w:p>
    <w:p>
      <w:pPr>
        <w:pStyle w:val="ListParagraph"/>
        <w:numPr>
          <w:ilvl w:val="0"/>
          <w:numId w:val="2"/>
        </w:numPr>
        <w:spacing w:after="80" w:line="276"/>
      </w:pPr>
      <w:r>
        <w:rPr>
          <w:rFonts w:ascii="Calibri" w:cs="Calibri" w:eastAsia="Calibri" w:hAnsi="Calibri"/>
          <w:b/>
          <w:bCs/>
          <w:color w:val="000000"/>
          <w:sz w:val="20"/>
          <w:szCs w:val="20"/>
        </w:rPr>
        <w:t xml:space="preserve">Netherlands</w:t>
      </w:r>
      <w:r>
        <w:rPr>
          <w:rFonts w:ascii="Calibri" w:cs="Calibri" w:eastAsia="Calibri" w:hAnsi="Calibri"/>
          <w:color w:val="000000"/>
          <w:sz w:val="20"/>
          <w:szCs w:val="20"/>
        </w:rPr>
        <w:t xml:space="preserve"> — the cleanest fit on all three tests. Highest unmet ICT hiring need of any major European economy, fifth-strictest dismissal regime in the OECD, and the freelancer workaround legally closed from January 2026.</w:t>
      </w:r>
    </w:p>
    <w:p>
      <w:pPr>
        <w:pStyle w:val="ListParagraph"/>
        <w:numPr>
          <w:ilvl w:val="0"/>
          <w:numId w:val="2"/>
        </w:numPr>
        <w:spacing w:after="80" w:line="276"/>
      </w:pPr>
      <w:r>
        <w:rPr>
          <w:rFonts w:ascii="Calibri" w:cs="Calibri" w:eastAsia="Calibri" w:hAnsi="Calibri"/>
          <w:b/>
          <w:bCs/>
          <w:color w:val="000000"/>
          <w:sz w:val="20"/>
          <w:szCs w:val="20"/>
        </w:rPr>
        <w:t xml:space="preserve">Germany</w:t>
      </w:r>
      <w:r>
        <w:rPr>
          <w:rFonts w:ascii="Calibri" w:cs="Calibri" w:eastAsia="Calibri" w:hAnsi="Calibri"/>
          <w:color w:val="000000"/>
          <w:sz w:val="20"/>
          <w:szCs w:val="20"/>
        </w:rPr>
        <w:t xml:space="preserve"> — the volume prize. Roughly 6,980 addressable mid-and-large accounts carrying an unfilled technology hiring need, five times the Netherlands. 109,000 unfilled IT roles and 7.7 months average time to fill.</w:t>
      </w:r>
    </w:p>
    <w:p>
      <w:pPr>
        <w:pStyle w:val="ListParagraph"/>
        <w:numPr>
          <w:ilvl w:val="0"/>
          <w:numId w:val="2"/>
        </w:numPr>
        <w:spacing w:after="80" w:line="276"/>
      </w:pPr>
      <w:r>
        <w:rPr>
          <w:rFonts w:ascii="Calibri" w:cs="Calibri" w:eastAsia="Calibri" w:hAnsi="Calibri"/>
          <w:b/>
          <w:bCs/>
          <w:color w:val="000000"/>
          <w:sz w:val="20"/>
          <w:szCs w:val="20"/>
        </w:rPr>
        <w:t xml:space="preserve">Belgium</w:t>
      </w:r>
      <w:r>
        <w:rPr>
          <w:rFonts w:ascii="Calibri" w:cs="Calibri" w:eastAsia="Calibri" w:hAnsi="Calibri"/>
          <w:color w:val="000000"/>
          <w:sz w:val="20"/>
          <w:szCs w:val="20"/>
        </w:rPr>
        <w:t xml:space="preserve"> — small, but the strongest legal push in Europe toward contracted delivery. Article 31 of the 1987 Act makes conventional staff supply outright unlawful.</w:t>
      </w:r>
    </w:p>
    <w:p>
      <w:pPr>
        <w:pStyle w:val="ListParagraph"/>
        <w:numPr>
          <w:ilvl w:val="0"/>
          <w:numId w:val="2"/>
        </w:numPr>
        <w:spacing w:after="80" w:line="276"/>
      </w:pPr>
      <w:r>
        <w:rPr>
          <w:rFonts w:ascii="Calibri" w:cs="Calibri" w:eastAsia="Calibri" w:hAnsi="Calibri"/>
          <w:b/>
          <w:bCs/>
          <w:color w:val="000000"/>
          <w:sz w:val="20"/>
          <w:szCs w:val="20"/>
        </w:rPr>
        <w:t xml:space="preserve">UAE and Saudi Arabia</w:t>
      </w:r>
      <w:r>
        <w:rPr>
          <w:rFonts w:ascii="Calibri" w:cs="Calibri" w:eastAsia="Calibri" w:hAnsi="Calibri"/>
          <w:color w:val="000000"/>
          <w:sz w:val="20"/>
          <w:szCs w:val="20"/>
        </w:rPr>
        <w:t xml:space="preserve"> — not rigid on dismissal, but Emiratisation and Saudization quotas plus visa-band restrictions are the functional equivalent: they legally cap who may be hired. xLoop already has regional HQs and delivery evidence in the region.</w:t>
      </w:r>
    </w:p>
    <w:p>
      <w:pPr>
        <w:spacing w:after="120" w:before="0" w:line="276"/>
      </w:pPr>
      <w:r>
        <w:rPr>
          <w:rFonts w:ascii="Calibri" w:cs="Calibri" w:eastAsia="Calibri" w:hAnsi="Calibri"/>
          <w:b/>
          <w:bCs/>
          <w:color w:val="000000"/>
          <w:sz w:val="20"/>
          <w:szCs w:val="20"/>
        </w:rPr>
        <w:t xml:space="preserve">The most useful finding is not about where, but how. </w:t>
      </w:r>
      <w:r>
        <w:rPr>
          <w:rFonts w:ascii="Calibri" w:cs="Calibri" w:eastAsia="Calibri" w:hAnsi="Calibri"/>
          <w:color w:val="000000"/>
          <w:sz w:val="20"/>
          <w:szCs w:val="20"/>
        </w:rPr>
        <w:t xml:space="preserve">In every Tier 1 market, the law that creates the demand also makes </w:t>
      </w:r>
      <w:r>
        <w:rPr>
          <w:rFonts w:ascii="Calibri" w:cs="Calibri" w:eastAsia="Calibri" w:hAnsi="Calibri"/>
          <w:b/>
          <w:bCs/>
          <w:color w:val="000000"/>
          <w:sz w:val="20"/>
          <w:szCs w:val="20"/>
        </w:rPr>
        <w:t xml:space="preserve">staff augmentation the wrong product to sell. </w:t>
      </w:r>
      <w:r>
        <w:rPr>
          <w:rFonts w:ascii="Calibri" w:cs="Calibri" w:eastAsia="Calibri" w:hAnsi="Calibri"/>
          <w:color w:val="000000"/>
          <w:sz w:val="20"/>
          <w:szCs w:val="20"/>
        </w:rPr>
        <w:t xml:space="preserve">Germany’s AÜG, the Dutch DBA Act, Belgium’s Article 31 and France’s prohibition on </w:t>
      </w:r>
      <w:r>
        <w:rPr>
          <w:rFonts w:ascii="Calibri" w:cs="Calibri" w:eastAsia="Calibri" w:hAnsi="Calibri"/>
          <w:i/>
          <w:iCs/>
          <w:color w:val="000000"/>
          <w:sz w:val="20"/>
          <w:szCs w:val="20"/>
        </w:rPr>
        <w:t xml:space="preserve">prêt de main-d’œuvre illicite</w:t>
      </w:r>
      <w:r>
        <w:rPr>
          <w:rFonts w:ascii="Calibri" w:cs="Calibri" w:eastAsia="Calibri" w:hAnsi="Calibri"/>
          <w:color w:val="000000"/>
          <w:sz w:val="20"/>
          <w:szCs w:val="20"/>
        </w:rPr>
        <w:t xml:space="preserve"> all penalise arrangements in which the client directs supplied people. A fixed-scope, deliverable-based managed service with xLoop retaining direction of its own engineers is not merely permitted — it is the reason those buyers will pay a premium. Section 6.</w:t>
      </w:r>
    </w:p>
    <w:p>
      <w:pPr>
        <w:spacing w:after="120" w:before="0" w:line="276"/>
      </w:pPr>
      <w:r>
        <w:rPr>
          <w:rFonts w:ascii="Calibri" w:cs="Calibri" w:eastAsia="Calibri" w:hAnsi="Calibri"/>
          <w:b/>
          <w:bCs/>
          <w:color w:val="000000"/>
          <w:sz w:val="20"/>
          <w:szCs w:val="20"/>
        </w:rPr>
        <w:t xml:space="preserve">The binding constraint is proof, not demand. </w:t>
      </w:r>
      <w:r>
        <w:rPr>
          <w:rFonts w:ascii="Calibri" w:cs="Calibri" w:eastAsia="Calibri" w:hAnsi="Calibri"/>
          <w:color w:val="000000"/>
          <w:sz w:val="20"/>
          <w:szCs w:val="20"/>
        </w:rPr>
        <w:t xml:space="preserve">The Marketing Brain records that no xLoop offering has a named client reference approved for public use. German and Dutch enterprise buyers will ask for a named European reference in the first meeting. That gap, not market selection, is the most likely reason Tier 1 stalls.</w:t>
      </w:r>
    </w:p>
    <w:p>
      <w:pPr>
        <w:spacing w:before="240"/>
      </w:pPr>
      <w:r>
        <w:br w:type="page"/>
      </w:r>
    </w:p>
    <w:p>
      <w:pPr>
        <w:pStyle w:val="Heading1"/>
        <w:spacing w:after="160" w:before="360"/>
      </w:pPr>
      <w:r>
        <w:rPr>
          <w:rFonts w:ascii="Calibri" w:cs="Calibri" w:eastAsia="Calibri" w:hAnsi="Calibri"/>
          <w:b/>
          <w:bCs/>
          <w:color w:val="1F3864"/>
          <w:sz w:val="30"/>
          <w:szCs w:val="30"/>
        </w:rPr>
        <w:t xml:space="preserve">2.  How this was built</w:t>
      </w:r>
    </w:p>
    <w:p>
      <w:pPr>
        <w:spacing w:after="120" w:before="0" w:line="276"/>
      </w:pPr>
      <w:r>
        <w:rPr>
          <w:rFonts w:ascii="Calibri" w:cs="Calibri" w:eastAsia="Calibri" w:hAnsi="Calibri"/>
          <w:color w:val="000000"/>
          <w:sz w:val="20"/>
          <w:szCs w:val="20"/>
        </w:rPr>
        <w:t xml:space="preserve">Five primary datasets, each pulled from source rather than from secondary reporting, plus a statute-level review of contracting law in every shortlisted market.</w:t>
      </w:r>
    </w:p>
    <w:tbl>
      <w:tblPr>
        <w:tblW w:type="dxa" w:w="9360"/>
        <w:tblBorders>
          <w:top w:val="single" w:color="BFBFBF" w:sz="4"/>
          <w:left w:val="none" w:color="FFFFFF" w:sz="0"/>
          <w:bottom w:val="single" w:color="BFBFBF" w:sz="4"/>
          <w:right w:val="none" w:color="FFFFFF" w:sz="0"/>
          <w:insideH w:val="single" w:color="BFBFBF" w:sz="2"/>
          <w:insideV w:val="none" w:color="FFFFFF" w:sz="0"/>
        </w:tblBorders>
      </w:tblPr>
      <w:tblGrid>
        <w:gridCol w:w="2500"/>
        <w:gridCol w:w="4000"/>
        <w:gridCol w:w="1500"/>
        <w:gridCol w:w="1360"/>
      </w:tblGrid>
      <w:tr>
        <w:trPr>
          <w:tblHeader/>
        </w:trPr>
        <w:tc>
          <w:tcPr>
            <w:tcW w:type="dxa" w:w="2500"/>
            <w:shd w:fill="1F3864" w:color="auto" w:val="clear"/>
            <w:tcMar>
              <w:top w:type="dxa" w:w="70"/>
              <w:left w:type="dxa" w:w="100"/>
              <w:bottom w:type="dxa" w:w="70"/>
              <w:right w:type="dxa" w:w="100"/>
            </w:tcMar>
          </w:tcPr>
          <w:p>
            <w:pPr>
              <w:spacing w:after="0" w:before="0" w:line="240"/>
            </w:pPr>
            <w:r>
              <w:rPr>
                <w:rFonts w:ascii="Calibri" w:cs="Calibri" w:eastAsia="Calibri" w:hAnsi="Calibri"/>
                <w:b/>
                <w:bCs/>
                <w:color w:val="FFFFFF"/>
                <w:sz w:val="18"/>
                <w:szCs w:val="18"/>
              </w:rPr>
              <w:t xml:space="preserve">What it measures</w:t>
            </w:r>
          </w:p>
        </w:tc>
        <w:tc>
          <w:tcPr>
            <w:tcW w:type="dxa" w:w="4000"/>
            <w:shd w:fill="1F3864" w:color="auto" w:val="clear"/>
            <w:tcMar>
              <w:top w:type="dxa" w:w="70"/>
              <w:left w:type="dxa" w:w="100"/>
              <w:bottom w:type="dxa" w:w="70"/>
              <w:right w:type="dxa" w:w="100"/>
            </w:tcMar>
          </w:tcPr>
          <w:p>
            <w:pPr>
              <w:spacing w:after="0" w:before="0" w:line="240"/>
            </w:pPr>
            <w:r>
              <w:rPr>
                <w:rFonts w:ascii="Calibri" w:cs="Calibri" w:eastAsia="Calibri" w:hAnsi="Calibri"/>
                <w:b/>
                <w:bCs/>
                <w:color w:val="FFFFFF"/>
                <w:sz w:val="18"/>
                <w:szCs w:val="18"/>
              </w:rPr>
              <w:t xml:space="preserve">Source</w:t>
            </w:r>
          </w:p>
        </w:tc>
        <w:tc>
          <w:tcPr>
            <w:tcW w:type="dxa" w:w="1500"/>
            <w:shd w:fill="1F3864" w:color="auto" w:val="clear"/>
            <w:tcMar>
              <w:top w:type="dxa" w:w="70"/>
              <w:left w:type="dxa" w:w="100"/>
              <w:bottom w:type="dxa" w:w="70"/>
              <w:right w:type="dxa" w:w="100"/>
            </w:tcMar>
          </w:tcPr>
          <w:p>
            <w:pPr>
              <w:spacing w:after="0" w:before="0" w:line="240"/>
            </w:pPr>
            <w:r>
              <w:rPr>
                <w:rFonts w:ascii="Calibri" w:cs="Calibri" w:eastAsia="Calibri" w:hAnsi="Calibri"/>
                <w:b/>
                <w:bCs/>
                <w:color w:val="FFFFFF"/>
                <w:sz w:val="18"/>
                <w:szCs w:val="18"/>
              </w:rPr>
              <w:t xml:space="preserve">Vintage</w:t>
            </w:r>
          </w:p>
        </w:tc>
        <w:tc>
          <w:tcPr>
            <w:tcW w:type="dxa" w:w="1360"/>
            <w:shd w:fill="1F3864" w:color="auto" w:val="clear"/>
            <w:tcMar>
              <w:top w:type="dxa" w:w="70"/>
              <w:left w:type="dxa" w:w="100"/>
              <w:bottom w:type="dxa" w:w="70"/>
              <w:right w:type="dxa" w:w="100"/>
            </w:tcMar>
          </w:tcPr>
          <w:p>
            <w:pPr>
              <w:spacing w:after="0" w:before="0" w:line="240"/>
            </w:pPr>
            <w:r>
              <w:rPr>
                <w:rFonts w:ascii="Calibri" w:cs="Calibri" w:eastAsia="Calibri" w:hAnsi="Calibri"/>
                <w:b/>
                <w:bCs/>
                <w:color w:val="FFFFFF"/>
                <w:sz w:val="18"/>
                <w:szCs w:val="18"/>
              </w:rPr>
              <w:t xml:space="preserve">Coverage</w:t>
            </w:r>
          </w:p>
        </w:tc>
      </w:tr>
      <w:tr>
        <w:tc>
          <w:tcPr>
            <w:tcW w:type="dxa" w:w="250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Technology-specific talent shortage</w:t>
            </w:r>
          </w:p>
        </w:tc>
        <w:tc>
          <w:tcPr>
            <w:tcW w:type="dxa" w:w="400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Eurostat, ICT specialist hard-to-fill vacancies (isoc_ske_itrcrs)</w:t>
            </w:r>
          </w:p>
        </w:tc>
        <w:tc>
          <w:tcPr>
            <w:tcW w:type="dxa" w:w="150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2024 survey</w:t>
            </w:r>
          </w:p>
        </w:tc>
        <w:tc>
          <w:tcPr>
            <w:tcW w:type="dxa" w:w="136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EU + EFTA</w:t>
            </w:r>
          </w:p>
        </w:tc>
      </w:tr>
      <w:tr>
        <w:tc>
          <w:tcPr>
            <w:tcW w:type="dxa" w:w="250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All-roles talent shortage</w:t>
            </w:r>
          </w:p>
        </w:tc>
        <w:tc>
          <w:tcPr>
            <w:tcW w:type="dxa" w:w="400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ManpowerGroup Global Talent Shortage Survey, 39,063 employers</w:t>
            </w:r>
          </w:p>
        </w:tc>
        <w:tc>
          <w:tcPr>
            <w:tcW w:type="dxa" w:w="150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Oct 2025 fieldwork</w:t>
            </w:r>
          </w:p>
        </w:tc>
        <w:tc>
          <w:tcPr>
            <w:tcW w:type="dxa" w:w="136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41 countries</w:t>
            </w:r>
          </w:p>
        </w:tc>
      </w:tr>
      <w:tr>
        <w:tc>
          <w:tcPr>
            <w:tcW w:type="dxa" w:w="250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Employment protection strictness</w:t>
            </w:r>
          </w:p>
        </w:tc>
        <w:tc>
          <w:tcPr>
            <w:tcW w:type="dxa" w:w="400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OECD Employment Protection Legislation database, EPRC version 4</w:t>
            </w:r>
          </w:p>
        </w:tc>
        <w:tc>
          <w:tcPr>
            <w:tcW w:type="dxa" w:w="150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2020 edition, 2019 values</w:t>
            </w:r>
          </w:p>
        </w:tc>
        <w:tc>
          <w:tcPr>
            <w:tcW w:type="dxa" w:w="136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OECD + partners</w:t>
            </w:r>
          </w:p>
        </w:tc>
      </w:tr>
      <w:tr>
        <w:tc>
          <w:tcPr>
            <w:tcW w:type="dxa" w:w="250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Economic growth</w:t>
            </w:r>
          </w:p>
        </w:tc>
        <w:tc>
          <w:tcPr>
            <w:tcW w:type="dxa" w:w="400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IMF World Economic Outlook, real GDP growth</w:t>
            </w:r>
          </w:p>
        </w:tc>
        <w:tc>
          <w:tcPr>
            <w:tcW w:type="dxa" w:w="150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retrieved Sept 2026</w:t>
            </w:r>
          </w:p>
        </w:tc>
        <w:tc>
          <w:tcPr>
            <w:tcW w:type="dxa" w:w="136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Global</w:t>
            </w:r>
          </w:p>
        </w:tc>
      </w:tr>
      <w:tr>
        <w:tc>
          <w:tcPr>
            <w:tcW w:type="dxa" w:w="250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Addressable account counts</w:t>
            </w:r>
          </w:p>
        </w:tc>
        <w:tc>
          <w:tcPr>
            <w:tcW w:type="dxa" w:w="400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Eurostat Structural Business Statistics, enterprises with 50+ employees</w:t>
            </w:r>
          </w:p>
        </w:tc>
        <w:tc>
          <w:tcPr>
            <w:tcW w:type="dxa" w:w="150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2023</w:t>
            </w:r>
          </w:p>
        </w:tc>
        <w:tc>
          <w:tcPr>
            <w:tcW w:type="dxa" w:w="136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EU + EFTA</w:t>
            </w:r>
          </w:p>
        </w:tc>
      </w:tr>
      <w:tr>
        <w:tc>
          <w:tcPr>
            <w:tcW w:type="dxa" w:w="250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Contracting-law constraints</w:t>
            </w:r>
          </w:p>
        </w:tc>
        <w:tc>
          <w:tcPr>
            <w:tcW w:type="dxa" w:w="400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National statute and case law — see section 6</w:t>
            </w:r>
          </w:p>
        </w:tc>
        <w:tc>
          <w:tcPr>
            <w:tcW w:type="dxa" w:w="150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current</w:t>
            </w:r>
          </w:p>
        </w:tc>
        <w:tc>
          <w:tcPr>
            <w:tcW w:type="dxa" w:w="136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Per market</w:t>
            </w:r>
          </w:p>
        </w:tc>
      </w:tr>
    </w:tbl>
    <w:p>
      <w:pPr>
        <w:spacing w:after="220" w:before="80"/>
      </w:pPr>
      <w:r>
        <w:rPr>
          <w:rFonts w:ascii="Calibri" w:cs="Calibri" w:eastAsia="Calibri" w:hAnsi="Calibri"/>
          <w:i/>
          <w:iCs/>
          <w:color w:val="595959"/>
          <w:sz w:val="16"/>
          <w:szCs w:val="16"/>
        </w:rPr>
        <w:t xml:space="preserve">Table 1. Source register.</w:t>
      </w:r>
    </w:p>
    <w:p>
      <w:pPr>
        <w:pStyle w:val="Heading3"/>
        <w:spacing w:after="90" w:before="200"/>
      </w:pPr>
      <w:r>
        <w:rPr>
          <w:rFonts w:ascii="Calibri" w:cs="Calibri" w:eastAsia="Calibri" w:hAnsi="Calibri"/>
          <w:b/>
          <w:bCs/>
          <w:color w:val="C00000"/>
          <w:sz w:val="21"/>
          <w:szCs w:val="21"/>
        </w:rPr>
        <w:t xml:space="preserve">Three limitations, stated up front</w:t>
      </w:r>
    </w:p>
    <w:p>
      <w:pPr>
        <w:pStyle w:val="ListParagraph"/>
        <w:numPr>
          <w:ilvl w:val="0"/>
          <w:numId w:val="3"/>
        </w:numPr>
        <w:spacing w:after="80" w:line="276"/>
      </w:pPr>
      <w:r>
        <w:rPr>
          <w:rFonts w:ascii="Calibri" w:cs="Calibri" w:eastAsia="Calibri" w:hAnsi="Calibri"/>
          <w:b/>
          <w:bCs/>
          <w:color w:val="000000"/>
          <w:sz w:val="20"/>
          <w:szCs w:val="20"/>
        </w:rPr>
        <w:t xml:space="preserve">The OECD employment protection index is a 2019 snapshot </w:t>
      </w:r>
      <w:r>
        <w:rPr>
          <w:rFonts w:ascii="Calibri" w:cs="Calibri" w:eastAsia="Calibri" w:hAnsi="Calibri"/>
          <w:color w:val="000000"/>
          <w:sz w:val="20"/>
          <w:szCs w:val="20"/>
        </w:rPr>
        <w:t xml:space="preserve">— it is the latest published edition. Several countries have reformed since. Where a post-2019 change matters (the Netherlands most of all) it is described in section 6 rather than left buried inside the index.</w:t>
      </w:r>
    </w:p>
    <w:p>
      <w:pPr>
        <w:pStyle w:val="ListParagraph"/>
        <w:numPr>
          <w:ilvl w:val="0"/>
          <w:numId w:val="3"/>
        </w:numPr>
        <w:spacing w:after="80" w:line="276"/>
      </w:pPr>
      <w:r>
        <w:rPr>
          <w:rFonts w:ascii="Calibri" w:cs="Calibri" w:eastAsia="Calibri" w:hAnsi="Calibri"/>
          <w:b/>
          <w:bCs/>
          <w:color w:val="000000"/>
          <w:sz w:val="20"/>
          <w:szCs w:val="20"/>
        </w:rPr>
        <w:t xml:space="preserve">ManpowerGroup measures all roles, not technology roles, </w:t>
      </w:r>
      <w:r>
        <w:rPr>
          <w:rFonts w:ascii="Calibri" w:cs="Calibri" w:eastAsia="Calibri" w:hAnsi="Calibri"/>
          <w:color w:val="000000"/>
          <w:sz w:val="20"/>
          <w:szCs w:val="20"/>
        </w:rPr>
        <w:t xml:space="preserve">and its published country breakdown is partial. It is used only for markets Eurostat does not cover, and never mixed into the same ranking as the Eurostat figures.</w:t>
      </w:r>
    </w:p>
    <w:p>
      <w:pPr>
        <w:pStyle w:val="ListParagraph"/>
        <w:numPr>
          <w:ilvl w:val="0"/>
          <w:numId w:val="3"/>
        </w:numPr>
        <w:spacing w:after="80" w:line="276"/>
      </w:pPr>
      <w:r>
        <w:rPr>
          <w:rFonts w:ascii="Calibri" w:cs="Calibri" w:eastAsia="Calibri" w:hAnsi="Calibri"/>
          <w:b/>
          <w:bCs/>
          <w:color w:val="000000"/>
          <w:sz w:val="20"/>
          <w:szCs w:val="20"/>
        </w:rPr>
        <w:t xml:space="preserve">Nothing here measures conversion. </w:t>
      </w:r>
      <w:r>
        <w:rPr>
          <w:rFonts w:ascii="Calibri" w:cs="Calibri" w:eastAsia="Calibri" w:hAnsi="Calibri"/>
          <w:color w:val="000000"/>
          <w:sz w:val="20"/>
          <w:szCs w:val="20"/>
        </w:rPr>
        <w:t xml:space="preserve">There is no CRM and no win/loss record, so this ranks opportunity, not proven yield. The first quarter of outbound should be treated as the test.</w:t>
      </w:r>
    </w:p>
    <w:p>
      <w:pPr>
        <w:pStyle w:val="Heading1"/>
        <w:spacing w:after="160" w:before="360"/>
      </w:pPr>
      <w:r>
        <w:rPr>
          <w:rFonts w:ascii="Calibri" w:cs="Calibri" w:eastAsia="Calibri" w:hAnsi="Calibri"/>
          <w:b/>
          <w:bCs/>
          <w:color w:val="1F3864"/>
          <w:sz w:val="30"/>
          <w:szCs w:val="30"/>
        </w:rPr>
        <w:t xml:space="preserve">3.  The correction: “talent problem” and “thriving” pull against each other</w:t>
      </w:r>
    </w:p>
    <w:p>
      <w:pPr>
        <w:spacing w:after="120" w:before="0" w:line="276"/>
      </w:pPr>
      <w:r>
        <w:rPr>
          <w:rFonts w:ascii="Calibri" w:cs="Calibri" w:eastAsia="Calibri" w:hAnsi="Calibri"/>
          <w:color w:val="000000"/>
          <w:sz w:val="20"/>
          <w:szCs w:val="20"/>
        </w:rPr>
        <w:t xml:space="preserve">Bucket 1 as written asks for economies that are simultaneously talent-starved and thriving. In Europe in 2026 those two conditions are close to mutually exclusive.</w:t>
      </w:r>
    </w:p>
    <w:tbl>
      <w:tblPr>
        <w:tblW w:type="dxa" w:w="9360"/>
        <w:tblBorders>
          <w:top w:val="single" w:color="BFBFBF" w:sz="4"/>
          <w:left w:val="none" w:color="FFFFFF" w:sz="0"/>
          <w:bottom w:val="single" w:color="BFBFBF" w:sz="4"/>
          <w:right w:val="none" w:color="FFFFFF" w:sz="0"/>
          <w:insideH w:val="single" w:color="BFBFBF" w:sz="2"/>
          <w:insideV w:val="none" w:color="FFFFFF" w:sz="0"/>
        </w:tblBorders>
      </w:tblPr>
      <w:tblGrid>
        <w:gridCol w:w="2200"/>
        <w:gridCol w:w="2500"/>
        <w:gridCol w:w="2200"/>
        <w:gridCol w:w="2460"/>
      </w:tblGrid>
      <w:tr>
        <w:trPr>
          <w:tblHeader/>
        </w:trPr>
        <w:tc>
          <w:tcPr>
            <w:tcW w:type="dxa" w:w="2200"/>
            <w:shd w:fill="1F3864" w:color="auto" w:val="clear"/>
            <w:tcMar>
              <w:top w:type="dxa" w:w="70"/>
              <w:left w:type="dxa" w:w="100"/>
              <w:bottom w:type="dxa" w:w="70"/>
              <w:right w:type="dxa" w:w="100"/>
            </w:tcMar>
          </w:tcPr>
          <w:p>
            <w:pPr>
              <w:spacing w:after="0" w:before="0" w:line="240"/>
            </w:pPr>
            <w:r>
              <w:rPr>
                <w:rFonts w:ascii="Calibri" w:cs="Calibri" w:eastAsia="Calibri" w:hAnsi="Calibri"/>
                <w:b/>
                <w:bCs/>
                <w:color w:val="FFFFFF"/>
                <w:sz w:val="18"/>
                <w:szCs w:val="18"/>
              </w:rPr>
              <w:t xml:space="preserve">Market</w:t>
            </w:r>
          </w:p>
        </w:tc>
        <w:tc>
          <w:tcPr>
            <w:tcW w:type="dxa" w:w="2500"/>
            <w:shd w:fill="1F3864" w:color="auto" w:val="clear"/>
            <w:tcMar>
              <w:top w:type="dxa" w:w="70"/>
              <w:left w:type="dxa" w:w="100"/>
              <w:bottom w:type="dxa" w:w="70"/>
              <w:right w:type="dxa" w:w="100"/>
            </w:tcMar>
          </w:tcPr>
          <w:p>
            <w:pPr>
              <w:spacing w:after="0" w:before="0" w:line="240"/>
              <w:jc w:val="right"/>
            </w:pPr>
            <w:r>
              <w:rPr>
                <w:rFonts w:ascii="Calibri" w:cs="Calibri" w:eastAsia="Calibri" w:hAnsi="Calibri"/>
                <w:b/>
                <w:bCs/>
                <w:color w:val="FFFFFF"/>
                <w:sz w:val="18"/>
                <w:szCs w:val="18"/>
              </w:rPr>
              <w:t xml:space="preserve">Cannot fill ICT vacancies</w:t>
            </w:r>
          </w:p>
        </w:tc>
        <w:tc>
          <w:tcPr>
            <w:tcW w:type="dxa" w:w="2200"/>
            <w:shd w:fill="1F3864" w:color="auto" w:val="clear"/>
            <w:tcMar>
              <w:top w:type="dxa" w:w="70"/>
              <w:left w:type="dxa" w:w="100"/>
              <w:bottom w:type="dxa" w:w="70"/>
              <w:right w:type="dxa" w:w="100"/>
            </w:tcMar>
          </w:tcPr>
          <w:p>
            <w:pPr>
              <w:spacing w:after="0" w:before="0" w:line="240"/>
              <w:jc w:val="right"/>
            </w:pPr>
            <w:r>
              <w:rPr>
                <w:rFonts w:ascii="Calibri" w:cs="Calibri" w:eastAsia="Calibri" w:hAnsi="Calibri"/>
                <w:b/>
                <w:bCs/>
                <w:color w:val="FFFFFF"/>
                <w:sz w:val="18"/>
                <w:szCs w:val="18"/>
              </w:rPr>
              <w:t xml:space="preserve">GDP growth 2026</w:t>
            </w:r>
          </w:p>
        </w:tc>
        <w:tc>
          <w:tcPr>
            <w:tcW w:type="dxa" w:w="2460"/>
            <w:shd w:fill="1F3864" w:color="auto" w:val="clear"/>
            <w:tcMar>
              <w:top w:type="dxa" w:w="70"/>
              <w:left w:type="dxa" w:w="100"/>
              <w:bottom w:type="dxa" w:w="70"/>
              <w:right w:type="dxa" w:w="100"/>
            </w:tcMar>
          </w:tcPr>
          <w:p>
            <w:pPr>
              <w:spacing w:after="0" w:before="0" w:line="240"/>
            </w:pPr>
            <w:r>
              <w:rPr>
                <w:rFonts w:ascii="Calibri" w:cs="Calibri" w:eastAsia="Calibri" w:hAnsi="Calibri"/>
                <w:b/>
                <w:bCs/>
                <w:color w:val="FFFFFF"/>
                <w:sz w:val="18"/>
                <w:szCs w:val="18"/>
              </w:rPr>
              <w:t xml:space="preserve">Reads as</w:t>
            </w:r>
          </w:p>
        </w:tc>
      </w:tr>
      <w:tr>
        <w:tc>
          <w:tcPr>
            <w:tcW w:type="dxa" w:w="220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Germany</w:t>
            </w:r>
          </w:p>
        </w:tc>
        <w:tc>
          <w:tcPr>
            <w:tcW w:type="dxa" w:w="250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72.4% — worst in the EU</w:t>
            </w:r>
          </w:p>
        </w:tc>
        <w:tc>
          <w:tcPr>
            <w:tcW w:type="dxa" w:w="220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0.8%</w:t>
            </w:r>
          </w:p>
        </w:tc>
        <w:tc>
          <w:tcPr>
            <w:tcW w:type="dxa" w:w="246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Fails “thriving”</w:t>
            </w:r>
          </w:p>
        </w:tc>
      </w:tr>
      <w:tr>
        <w:tc>
          <w:tcPr>
            <w:tcW w:type="dxa" w:w="2200"/>
            <w:shd w:fill="F2F4F8" w:color="auto" w:val="clear"/>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Austria</w:t>
            </w:r>
          </w:p>
        </w:tc>
        <w:tc>
          <w:tcPr>
            <w:tcW w:type="dxa" w:w="250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67.3%</w:t>
            </w:r>
          </w:p>
        </w:tc>
        <w:tc>
          <w:tcPr>
            <w:tcW w:type="dxa" w:w="220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0.7%</w:t>
            </w:r>
          </w:p>
        </w:tc>
        <w:tc>
          <w:tcPr>
            <w:tcW w:type="dxa" w:w="246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Fails “thriving”</w:t>
            </w:r>
          </w:p>
        </w:tc>
      </w:tr>
      <w:tr>
        <w:tc>
          <w:tcPr>
            <w:tcW w:type="dxa" w:w="220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Netherlands</w:t>
            </w:r>
          </w:p>
        </w:tc>
        <w:tc>
          <w:tcPr>
            <w:tcW w:type="dxa" w:w="250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63.1%</w:t>
            </w:r>
          </w:p>
        </w:tc>
        <w:tc>
          <w:tcPr>
            <w:tcW w:type="dxa" w:w="220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1.2%</w:t>
            </w:r>
          </w:p>
        </w:tc>
        <w:tc>
          <w:tcPr>
            <w:tcW w:type="dxa" w:w="246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Marginal</w:t>
            </w:r>
          </w:p>
        </w:tc>
      </w:tr>
      <w:tr>
        <w:tc>
          <w:tcPr>
            <w:tcW w:type="dxa" w:w="2200"/>
            <w:shd w:fill="F2F4F8" w:color="auto" w:val="clear"/>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Poland</w:t>
            </w:r>
          </w:p>
        </w:tc>
        <w:tc>
          <w:tcPr>
            <w:tcW w:type="dxa" w:w="250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32.3% — among the lowest</w:t>
            </w:r>
          </w:p>
        </w:tc>
        <w:tc>
          <w:tcPr>
            <w:tcW w:type="dxa" w:w="220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3.3% — fastest in the EU</w:t>
            </w:r>
          </w:p>
        </w:tc>
        <w:tc>
          <w:tcPr>
            <w:tcW w:type="dxa" w:w="246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Fails “talent problem”</w:t>
            </w:r>
          </w:p>
        </w:tc>
      </w:tr>
      <w:tr>
        <w:tc>
          <w:tcPr>
            <w:tcW w:type="dxa" w:w="220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Spain</w:t>
            </w:r>
          </w:p>
        </w:tc>
        <w:tc>
          <w:tcPr>
            <w:tcW w:type="dxa" w:w="250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30.1% — lowest in the EU</w:t>
            </w:r>
          </w:p>
        </w:tc>
        <w:tc>
          <w:tcPr>
            <w:tcW w:type="dxa" w:w="220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2.1%</w:t>
            </w:r>
          </w:p>
        </w:tc>
        <w:tc>
          <w:tcPr>
            <w:tcW w:type="dxa" w:w="246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Fails “talent problem”</w:t>
            </w:r>
          </w:p>
        </w:tc>
      </w:tr>
    </w:tbl>
    <w:p>
      <w:pPr>
        <w:spacing w:after="220" w:before="80"/>
      </w:pPr>
      <w:r>
        <w:rPr>
          <w:rFonts w:ascii="Calibri" w:cs="Calibri" w:eastAsia="Calibri" w:hAnsi="Calibri"/>
          <w:i/>
          <w:iCs/>
          <w:color w:val="595959"/>
          <w:sz w:val="16"/>
          <w:szCs w:val="16"/>
        </w:rPr>
        <w:t xml:space="preserve">Table 2. Eurostat 2024 survey; IMF WEO. The inverse relationship is not a rounding artefact — it is the whole of the European picture.</w:t>
      </w:r>
    </w:p>
    <w:p>
      <w:pPr>
        <w:spacing w:after="120" w:before="0" w:line="276"/>
      </w:pPr>
      <w:r>
        <w:rPr>
          <w:rFonts w:ascii="Calibri" w:cs="Calibri" w:eastAsia="Calibri" w:hAnsi="Calibri"/>
          <w:b/>
          <w:bCs/>
          <w:color w:val="000000"/>
          <w:sz w:val="20"/>
          <w:szCs w:val="20"/>
        </w:rPr>
        <w:t xml:space="preserve">Why this happens: </w:t>
      </w:r>
      <w:r>
        <w:rPr>
          <w:rFonts w:ascii="Calibri" w:cs="Calibri" w:eastAsia="Calibri" w:hAnsi="Calibri"/>
          <w:color w:val="000000"/>
          <w:sz w:val="20"/>
          <w:szCs w:val="20"/>
        </w:rPr>
        <w:t xml:space="preserve">a slow economy does not soften a structural skills shortage caused by demography and a decade of under-supply. It suppresses hiring of everything </w:t>
      </w:r>
      <w:r>
        <w:rPr>
          <w:rFonts w:ascii="Calibri" w:cs="Calibri" w:eastAsia="Calibri" w:hAnsi="Calibri"/>
          <w:i/>
          <w:iCs/>
          <w:color w:val="000000"/>
          <w:sz w:val="20"/>
          <w:szCs w:val="20"/>
        </w:rPr>
        <w:t xml:space="preserve">except</w:t>
      </w:r>
      <w:r>
        <w:rPr>
          <w:rFonts w:ascii="Calibri" w:cs="Calibri" w:eastAsia="Calibri" w:hAnsi="Calibri"/>
          <w:color w:val="000000"/>
          <w:sz w:val="20"/>
          <w:szCs w:val="20"/>
        </w:rPr>
        <w:t xml:space="preserve"> the scarce roles, which makes the shortage look worse relative to total recruitment, not better.</w:t>
      </w:r>
    </w:p>
    <w:p>
      <w:pPr>
        <w:pStyle w:val="Heading3"/>
        <w:spacing w:after="90" w:before="200"/>
      </w:pPr>
      <w:r>
        <w:rPr>
          <w:rFonts w:ascii="Calibri" w:cs="Calibri" w:eastAsia="Calibri" w:hAnsi="Calibri"/>
          <w:b/>
          <w:bCs/>
          <w:color w:val="C00000"/>
          <w:sz w:val="21"/>
          <w:szCs w:val="21"/>
        </w:rPr>
        <w:t xml:space="preserve">Recommended change</w:t>
      </w:r>
    </w:p>
    <w:p>
      <w:pPr>
        <w:spacing w:after="120" w:before="0" w:line="276"/>
      </w:pPr>
      <w:r>
        <w:rPr>
          <w:rFonts w:ascii="Calibri" w:cs="Calibri" w:eastAsia="Calibri" w:hAnsi="Calibri"/>
          <w:color w:val="000000"/>
          <w:sz w:val="20"/>
          <w:szCs w:val="20"/>
        </w:rPr>
        <w:t xml:space="preserve">Replace </w:t>
      </w:r>
      <w:r>
        <w:rPr>
          <w:rFonts w:ascii="Calibri" w:cs="Calibri" w:eastAsia="Calibri" w:hAnsi="Calibri"/>
          <w:b/>
          <w:bCs/>
          <w:color w:val="000000"/>
          <w:sz w:val="20"/>
          <w:szCs w:val="20"/>
        </w:rPr>
        <w:t xml:space="preserve">“thriving economy”</w:t>
      </w:r>
      <w:r>
        <w:rPr>
          <w:rFonts w:ascii="Calibri" w:cs="Calibri" w:eastAsia="Calibri" w:hAnsi="Calibri"/>
          <w:color w:val="000000"/>
          <w:sz w:val="20"/>
          <w:szCs w:val="20"/>
        </w:rPr>
        <w:t xml:space="preserve"> with </w:t>
      </w:r>
      <w:r>
        <w:rPr>
          <w:rFonts w:ascii="Calibri" w:cs="Calibri" w:eastAsia="Calibri" w:hAnsi="Calibri"/>
          <w:b/>
          <w:bCs/>
          <w:color w:val="000000"/>
          <w:sz w:val="20"/>
          <w:szCs w:val="20"/>
        </w:rPr>
        <w:t xml:space="preserve">“growing IT budget”. </w:t>
      </w:r>
      <w:r>
        <w:rPr>
          <w:rFonts w:ascii="Calibri" w:cs="Calibri" w:eastAsia="Calibri" w:hAnsi="Calibri"/>
          <w:color w:val="000000"/>
          <w:sz w:val="20"/>
          <w:szCs w:val="20"/>
        </w:rPr>
        <w:t xml:space="preserve">Gartner forecasts European IT spending at $1.4 trillion in 2026, up 11.1% year on year, and worldwide IT services spending above $1.87 trillion. Technology budgets are rising roughly ten times faster than the economies that carry them. Under this definition Germany, the Netherlands, Belgium and Austria all pass, and the bucket becomes internally consistent.</w:t>
      </w:r>
    </w:p>
    <w:p>
      <w:pPr>
        <w:spacing w:after="120" w:before="60" w:line="276"/>
      </w:pPr>
      <w:r>
        <w:rPr>
          <w:rFonts w:ascii="Calibri" w:cs="Calibri" w:eastAsia="Calibri" w:hAnsi="Calibri"/>
          <w:b/>
          <w:bCs/>
          <w:color w:val="000000"/>
          <w:sz w:val="20"/>
          <w:szCs w:val="20"/>
        </w:rPr>
        <w:t xml:space="preserve">This is the one substantive change I would ask to be agreed before the target list is fixed.</w:t>
      </w:r>
    </w:p>
    <w:p>
      <w:pPr>
        <w:spacing w:before="240"/>
      </w:pPr>
      <w:r>
        <w:br w:type="page"/>
      </w:r>
    </w:p>
    <w:p>
      <w:pPr>
        <w:pStyle w:val="Heading1"/>
        <w:spacing w:after="160" w:before="360"/>
      </w:pPr>
      <w:r>
        <w:rPr>
          <w:rFonts w:ascii="Calibri" w:cs="Calibri" w:eastAsia="Calibri" w:hAnsi="Calibri"/>
          <w:b/>
          <w:bCs/>
          <w:color w:val="1F3864"/>
          <w:sz w:val="30"/>
          <w:szCs w:val="30"/>
        </w:rPr>
        <w:t xml:space="preserve">4.  The measure used</w:t>
      </w:r>
    </w:p>
    <w:p>
      <w:pPr>
        <w:spacing w:after="120" w:before="0" w:line="276"/>
      </w:pPr>
      <w:r>
        <w:rPr>
          <w:rFonts w:ascii="Calibri" w:cs="Calibri" w:eastAsia="Calibri" w:hAnsi="Calibri"/>
          <w:color w:val="000000"/>
          <w:sz w:val="20"/>
          <w:szCs w:val="20"/>
        </w:rPr>
        <w:t xml:space="preserve">Neither obvious metric works alone. “Share of firms that struggle to hire ICT staff” ignores how many firms are hiring at all; “share of firms hiring ICT staff” ignores whether they succeed. Multiplying them gives the figure that matters for lead generation:</w:t>
      </w:r>
    </w:p>
    <w:p>
      <w:pPr>
        <w:pBdr>
          <w:left w:val="single" w:color="C00000" w:sz="18" w:space="12"/>
        </w:pBdr>
        <w:spacing w:after="160" w:before="160"/>
        <w:ind w:left="200"/>
      </w:pPr>
      <w:r>
        <w:rPr>
          <w:rFonts w:ascii="Calibri" w:cs="Calibri" w:eastAsia="Calibri" w:hAnsi="Calibri"/>
          <w:b/>
          <w:bCs/>
          <w:color w:val="1F3864"/>
          <w:sz w:val="22"/>
          <w:szCs w:val="22"/>
        </w:rPr>
        <w:t xml:space="preserve">Unmet ICT hiring need</w:t>
      </w:r>
      <w:r>
        <w:rPr>
          <w:rFonts w:ascii="Calibri" w:cs="Calibri" w:eastAsia="Calibri" w:hAnsi="Calibri"/>
          <w:sz w:val="20"/>
          <w:szCs w:val="20"/>
        </w:rPr>
        <w:t xml:space="preserve">  =  (% of enterprises that recruited or tried to recruit ICT specialists)  ×  (% of those that could not fill the vacancies)</w:t>
      </w:r>
    </w:p>
    <w:p>
      <w:pPr>
        <w:spacing w:after="120" w:before="0" w:line="276"/>
      </w:pPr>
      <w:r>
        <w:rPr>
          <w:rFonts w:ascii="Calibri" w:cs="Calibri" w:eastAsia="Calibri" w:hAnsi="Calibri"/>
          <w:color w:val="000000"/>
          <w:sz w:val="20"/>
          <w:szCs w:val="20"/>
        </w:rPr>
        <w:t xml:space="preserve">That is the share of all enterprises in a country carrying an unfilled technology hiring need right now — the density of companies with the exact problem xTalent solves. Multiplied by the number of enterprises with 50 or more employees, it becomes an addressable account estimate.</w:t>
      </w:r>
    </w:p>
    <w:p>
      <w:pPr>
        <w:pStyle w:val="Heading2"/>
        <w:spacing w:after="120" w:before="260"/>
      </w:pPr>
      <w:r>
        <w:rPr>
          <w:rFonts w:ascii="Calibri" w:cs="Calibri" w:eastAsia="Calibri" w:hAnsi="Calibri"/>
          <w:b/>
          <w:bCs/>
          <w:color w:val="1F3864"/>
          <w:sz w:val="24"/>
          <w:szCs w:val="24"/>
        </w:rPr>
        <w:t xml:space="preserve">4.1  Ranked — European markets (Eurostat coverage)</w:t>
      </w:r>
    </w:p>
    <w:tbl>
      <w:tblPr>
        <w:tblW w:type="dxa" w:w="9360"/>
        <w:tblBorders>
          <w:top w:val="single" w:color="BFBFBF" w:sz="4"/>
          <w:left w:val="none" w:color="FFFFFF" w:sz="0"/>
          <w:bottom w:val="single" w:color="BFBFBF" w:sz="4"/>
          <w:right w:val="none" w:color="FFFFFF" w:sz="0"/>
          <w:insideH w:val="single" w:color="BFBFBF" w:sz="2"/>
          <w:insideV w:val="none" w:color="FFFFFF" w:sz="0"/>
        </w:tblBorders>
      </w:tblPr>
      <w:tblGrid>
        <w:gridCol w:w="1800"/>
        <w:gridCol w:w="1450"/>
        <w:gridCol w:w="1500"/>
        <w:gridCol w:w="1900"/>
        <w:gridCol w:w="1350"/>
        <w:gridCol w:w="1360"/>
      </w:tblGrid>
      <w:tr>
        <w:trPr>
          <w:tblHeader/>
        </w:trPr>
        <w:tc>
          <w:tcPr>
            <w:tcW w:type="dxa" w:w="1800"/>
            <w:shd w:fill="1F3864" w:color="auto" w:val="clear"/>
            <w:tcMar>
              <w:top w:type="dxa" w:w="70"/>
              <w:left w:type="dxa" w:w="100"/>
              <w:bottom w:type="dxa" w:w="70"/>
              <w:right w:type="dxa" w:w="100"/>
            </w:tcMar>
          </w:tcPr>
          <w:p>
            <w:pPr>
              <w:spacing w:after="0" w:before="0" w:line="240"/>
            </w:pPr>
            <w:r>
              <w:rPr>
                <w:rFonts w:ascii="Calibri" w:cs="Calibri" w:eastAsia="Calibri" w:hAnsi="Calibri"/>
                <w:b/>
                <w:bCs/>
                <w:color w:val="FFFFFF"/>
                <w:sz w:val="18"/>
                <w:szCs w:val="18"/>
              </w:rPr>
              <w:t xml:space="preserve">Market</w:t>
            </w:r>
          </w:p>
        </w:tc>
        <w:tc>
          <w:tcPr>
            <w:tcW w:type="dxa" w:w="1450"/>
            <w:shd w:fill="1F3864" w:color="auto" w:val="clear"/>
            <w:tcMar>
              <w:top w:type="dxa" w:w="70"/>
              <w:left w:type="dxa" w:w="100"/>
              <w:bottom w:type="dxa" w:w="70"/>
              <w:right w:type="dxa" w:w="100"/>
            </w:tcMar>
          </w:tcPr>
          <w:p>
            <w:pPr>
              <w:spacing w:after="0" w:before="0" w:line="240"/>
              <w:jc w:val="right"/>
            </w:pPr>
            <w:r>
              <w:rPr>
                <w:rFonts w:ascii="Calibri" w:cs="Calibri" w:eastAsia="Calibri" w:hAnsi="Calibri"/>
                <w:b/>
                <w:bCs/>
                <w:color w:val="FFFFFF"/>
                <w:sz w:val="18"/>
                <w:szCs w:val="18"/>
              </w:rPr>
              <w:t xml:space="preserve">Unmet ICT need</w:t>
            </w:r>
          </w:p>
        </w:tc>
        <w:tc>
          <w:tcPr>
            <w:tcW w:type="dxa" w:w="1500"/>
            <w:shd w:fill="1F3864" w:color="auto" w:val="clear"/>
            <w:tcMar>
              <w:top w:type="dxa" w:w="70"/>
              <w:left w:type="dxa" w:w="100"/>
              <w:bottom w:type="dxa" w:w="70"/>
              <w:right w:type="dxa" w:w="100"/>
            </w:tcMar>
          </w:tcPr>
          <w:p>
            <w:pPr>
              <w:spacing w:after="0" w:before="0" w:line="240"/>
              <w:jc w:val="right"/>
            </w:pPr>
            <w:r>
              <w:rPr>
                <w:rFonts w:ascii="Calibri" w:cs="Calibri" w:eastAsia="Calibri" w:hAnsi="Calibri"/>
                <w:b/>
                <w:bCs/>
                <w:color w:val="FFFFFF"/>
                <w:sz w:val="18"/>
                <w:szCs w:val="18"/>
              </w:rPr>
              <w:t xml:space="preserve">Firms 50+</w:t>
            </w:r>
          </w:p>
        </w:tc>
        <w:tc>
          <w:tcPr>
            <w:tcW w:type="dxa" w:w="1900"/>
            <w:shd w:fill="1F3864" w:color="auto" w:val="clear"/>
            <w:tcMar>
              <w:top w:type="dxa" w:w="70"/>
              <w:left w:type="dxa" w:w="100"/>
              <w:bottom w:type="dxa" w:w="70"/>
              <w:right w:type="dxa" w:w="100"/>
            </w:tcMar>
          </w:tcPr>
          <w:p>
            <w:pPr>
              <w:spacing w:after="0" w:before="0" w:line="240"/>
              <w:jc w:val="right"/>
            </w:pPr>
            <w:r>
              <w:rPr>
                <w:rFonts w:ascii="Calibri" w:cs="Calibri" w:eastAsia="Calibri" w:hAnsi="Calibri"/>
                <w:b/>
                <w:bCs/>
                <w:color w:val="FFFFFF"/>
                <w:sz w:val="18"/>
                <w:szCs w:val="18"/>
              </w:rPr>
              <w:t xml:space="preserve">Addressable accounts</w:t>
            </w:r>
          </w:p>
        </w:tc>
        <w:tc>
          <w:tcPr>
            <w:tcW w:type="dxa" w:w="1350"/>
            <w:shd w:fill="1F3864" w:color="auto" w:val="clear"/>
            <w:tcMar>
              <w:top w:type="dxa" w:w="70"/>
              <w:left w:type="dxa" w:w="100"/>
              <w:bottom w:type="dxa" w:w="70"/>
              <w:right w:type="dxa" w:w="100"/>
            </w:tcMar>
          </w:tcPr>
          <w:p>
            <w:pPr>
              <w:spacing w:after="0" w:before="0" w:line="240"/>
              <w:jc w:val="right"/>
            </w:pPr>
            <w:r>
              <w:rPr>
                <w:rFonts w:ascii="Calibri" w:cs="Calibri" w:eastAsia="Calibri" w:hAnsi="Calibri"/>
                <w:b/>
                <w:bCs/>
                <w:color w:val="FFFFFF"/>
                <w:sz w:val="18"/>
                <w:szCs w:val="18"/>
              </w:rPr>
              <w:t xml:space="preserve">OECD EPRC</w:t>
            </w:r>
          </w:p>
        </w:tc>
        <w:tc>
          <w:tcPr>
            <w:tcW w:type="dxa" w:w="1360"/>
            <w:shd w:fill="1F3864" w:color="auto" w:val="clear"/>
            <w:tcMar>
              <w:top w:type="dxa" w:w="70"/>
              <w:left w:type="dxa" w:w="100"/>
              <w:bottom w:type="dxa" w:w="70"/>
              <w:right w:type="dxa" w:w="100"/>
            </w:tcMar>
          </w:tcPr>
          <w:p>
            <w:pPr>
              <w:spacing w:after="0" w:before="0" w:line="240"/>
              <w:jc w:val="right"/>
            </w:pPr>
            <w:r>
              <w:rPr>
                <w:rFonts w:ascii="Calibri" w:cs="Calibri" w:eastAsia="Calibri" w:hAnsi="Calibri"/>
                <w:b/>
                <w:bCs/>
                <w:color w:val="FFFFFF"/>
                <w:sz w:val="18"/>
                <w:szCs w:val="18"/>
              </w:rPr>
              <w:t xml:space="preserve">GDP 2026</w:t>
            </w:r>
          </w:p>
        </w:tc>
      </w:tr>
      <w:tr>
        <w:tc>
          <w:tcPr>
            <w:tcW w:type="dxa" w:w="180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Germany</w:t>
            </w:r>
          </w:p>
        </w:tc>
        <w:tc>
          <w:tcPr>
            <w:tcW w:type="dxa" w:w="14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8.7%</w:t>
            </w:r>
          </w:p>
        </w:tc>
        <w:tc>
          <w:tcPr>
            <w:tcW w:type="dxa" w:w="150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80,161</w:t>
            </w:r>
          </w:p>
        </w:tc>
        <w:tc>
          <w:tcPr>
            <w:tcW w:type="dxa" w:w="190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~6,980</w:t>
            </w:r>
          </w:p>
        </w:tc>
        <w:tc>
          <w:tcPr>
            <w:tcW w:type="dxa" w:w="13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2.33</w:t>
            </w:r>
          </w:p>
        </w:tc>
        <w:tc>
          <w:tcPr>
            <w:tcW w:type="dxa" w:w="136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0.8%</w:t>
            </w:r>
          </w:p>
        </w:tc>
      </w:tr>
      <w:tr>
        <w:tc>
          <w:tcPr>
            <w:tcW w:type="dxa" w:w="1800"/>
            <w:shd w:fill="F2F4F8" w:color="auto" w:val="clear"/>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Netherlands</w:t>
            </w:r>
          </w:p>
        </w:tc>
        <w:tc>
          <w:tcPr>
            <w:tcW w:type="dxa" w:w="14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9.7%</w:t>
            </w:r>
          </w:p>
        </w:tc>
        <w:tc>
          <w:tcPr>
            <w:tcW w:type="dxa" w:w="150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13,804</w:t>
            </w:r>
          </w:p>
        </w:tc>
        <w:tc>
          <w:tcPr>
            <w:tcW w:type="dxa" w:w="190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~1,330</w:t>
            </w:r>
          </w:p>
        </w:tc>
        <w:tc>
          <w:tcPr>
            <w:tcW w:type="dxa" w:w="13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2.88</w:t>
            </w:r>
          </w:p>
        </w:tc>
        <w:tc>
          <w:tcPr>
            <w:tcW w:type="dxa" w:w="136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1.2%</w:t>
            </w:r>
          </w:p>
        </w:tc>
      </w:tr>
      <w:tr>
        <w:tc>
          <w:tcPr>
            <w:tcW w:type="dxa" w:w="180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Spain</w:t>
            </w:r>
          </w:p>
        </w:tc>
        <w:tc>
          <w:tcPr>
            <w:tcW w:type="dxa" w:w="14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3.9%</w:t>
            </w:r>
          </w:p>
        </w:tc>
        <w:tc>
          <w:tcPr>
            <w:tcW w:type="dxa" w:w="150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27,633</w:t>
            </w:r>
          </w:p>
        </w:tc>
        <w:tc>
          <w:tcPr>
            <w:tcW w:type="dxa" w:w="190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~1,090</w:t>
            </w:r>
          </w:p>
        </w:tc>
        <w:tc>
          <w:tcPr>
            <w:tcW w:type="dxa" w:w="13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2.43</w:t>
            </w:r>
          </w:p>
        </w:tc>
        <w:tc>
          <w:tcPr>
            <w:tcW w:type="dxa" w:w="136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2.1%</w:t>
            </w:r>
          </w:p>
        </w:tc>
      </w:tr>
      <w:tr>
        <w:tc>
          <w:tcPr>
            <w:tcW w:type="dxa" w:w="1800"/>
            <w:shd w:fill="F2F4F8" w:color="auto" w:val="clear"/>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Italy</w:t>
            </w:r>
          </w:p>
        </w:tc>
        <w:tc>
          <w:tcPr>
            <w:tcW w:type="dxa" w:w="14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2.9%</w:t>
            </w:r>
          </w:p>
        </w:tc>
        <w:tc>
          <w:tcPr>
            <w:tcW w:type="dxa" w:w="150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31,085</w:t>
            </w:r>
          </w:p>
        </w:tc>
        <w:tc>
          <w:tcPr>
            <w:tcW w:type="dxa" w:w="190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~910</w:t>
            </w:r>
          </w:p>
        </w:tc>
        <w:tc>
          <w:tcPr>
            <w:tcW w:type="dxa" w:w="13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2.86</w:t>
            </w:r>
          </w:p>
        </w:tc>
        <w:tc>
          <w:tcPr>
            <w:tcW w:type="dxa" w:w="136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0.5%</w:t>
            </w:r>
          </w:p>
        </w:tc>
      </w:tr>
      <w:tr>
        <w:tc>
          <w:tcPr>
            <w:tcW w:type="dxa" w:w="180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Belgium</w:t>
            </w:r>
          </w:p>
        </w:tc>
        <w:tc>
          <w:tcPr>
            <w:tcW w:type="dxa" w:w="14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9.1%</w:t>
            </w:r>
          </w:p>
        </w:tc>
        <w:tc>
          <w:tcPr>
            <w:tcW w:type="dxa" w:w="150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7,286</w:t>
            </w:r>
          </w:p>
        </w:tc>
        <w:tc>
          <w:tcPr>
            <w:tcW w:type="dxa" w:w="190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~660</w:t>
            </w:r>
          </w:p>
        </w:tc>
        <w:tc>
          <w:tcPr>
            <w:tcW w:type="dxa" w:w="13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2.71</w:t>
            </w:r>
          </w:p>
        </w:tc>
        <w:tc>
          <w:tcPr>
            <w:tcW w:type="dxa" w:w="136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0.7%</w:t>
            </w:r>
          </w:p>
        </w:tc>
      </w:tr>
      <w:tr>
        <w:tc>
          <w:tcPr>
            <w:tcW w:type="dxa" w:w="1800"/>
            <w:shd w:fill="F2F4F8" w:color="auto" w:val="clear"/>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Czechia</w:t>
            </w:r>
          </w:p>
        </w:tc>
        <w:tc>
          <w:tcPr>
            <w:tcW w:type="dxa" w:w="14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5.7%</w:t>
            </w:r>
          </w:p>
        </w:tc>
        <w:tc>
          <w:tcPr>
            <w:tcW w:type="dxa" w:w="150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9,276</w:t>
            </w:r>
          </w:p>
        </w:tc>
        <w:tc>
          <w:tcPr>
            <w:tcW w:type="dxa" w:w="190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~525</w:t>
            </w:r>
          </w:p>
        </w:tc>
        <w:tc>
          <w:tcPr>
            <w:tcW w:type="dxa" w:w="13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3.03</w:t>
            </w:r>
          </w:p>
        </w:tc>
        <w:tc>
          <w:tcPr>
            <w:tcW w:type="dxa" w:w="136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2.2%</w:t>
            </w:r>
          </w:p>
        </w:tc>
      </w:tr>
      <w:tr>
        <w:tc>
          <w:tcPr>
            <w:tcW w:type="dxa" w:w="180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Austria</w:t>
            </w:r>
          </w:p>
        </w:tc>
        <w:tc>
          <w:tcPr>
            <w:tcW w:type="dxa" w:w="14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6.3%</w:t>
            </w:r>
          </w:p>
        </w:tc>
        <w:tc>
          <w:tcPr>
            <w:tcW w:type="dxa" w:w="150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7,978</w:t>
            </w:r>
          </w:p>
        </w:tc>
        <w:tc>
          <w:tcPr>
            <w:tcW w:type="dxa" w:w="190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~505</w:t>
            </w:r>
          </w:p>
        </w:tc>
        <w:tc>
          <w:tcPr>
            <w:tcW w:type="dxa" w:w="13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1.80</w:t>
            </w:r>
          </w:p>
        </w:tc>
        <w:tc>
          <w:tcPr>
            <w:tcW w:type="dxa" w:w="136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0.7%</w:t>
            </w:r>
          </w:p>
        </w:tc>
      </w:tr>
      <w:tr>
        <w:tc>
          <w:tcPr>
            <w:tcW w:type="dxa" w:w="1800"/>
            <w:shd w:fill="F2F4F8" w:color="auto" w:val="clear"/>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Denmark</w:t>
            </w:r>
          </w:p>
        </w:tc>
        <w:tc>
          <w:tcPr>
            <w:tcW w:type="dxa" w:w="14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8.0%</w:t>
            </w:r>
          </w:p>
        </w:tc>
        <w:tc>
          <w:tcPr>
            <w:tcW w:type="dxa" w:w="150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5,775</w:t>
            </w:r>
          </w:p>
        </w:tc>
        <w:tc>
          <w:tcPr>
            <w:tcW w:type="dxa" w:w="190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~460</w:t>
            </w:r>
          </w:p>
        </w:tc>
        <w:tc>
          <w:tcPr>
            <w:tcW w:type="dxa" w:w="13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1.94</w:t>
            </w:r>
          </w:p>
        </w:tc>
        <w:tc>
          <w:tcPr>
            <w:tcW w:type="dxa" w:w="136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2.0%</w:t>
            </w:r>
          </w:p>
        </w:tc>
      </w:tr>
      <w:tr>
        <w:tc>
          <w:tcPr>
            <w:tcW w:type="dxa" w:w="180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Sweden</w:t>
            </w:r>
          </w:p>
        </w:tc>
        <w:tc>
          <w:tcPr>
            <w:tcW w:type="dxa" w:w="14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5.4%</w:t>
            </w:r>
          </w:p>
        </w:tc>
        <w:tc>
          <w:tcPr>
            <w:tcW w:type="dxa" w:w="150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8,308</w:t>
            </w:r>
          </w:p>
        </w:tc>
        <w:tc>
          <w:tcPr>
            <w:tcW w:type="dxa" w:w="190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~447</w:t>
            </w:r>
          </w:p>
        </w:tc>
        <w:tc>
          <w:tcPr>
            <w:tcW w:type="dxa" w:w="13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2.54</w:t>
            </w:r>
          </w:p>
        </w:tc>
        <w:tc>
          <w:tcPr>
            <w:tcW w:type="dxa" w:w="136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2.0%</w:t>
            </w:r>
          </w:p>
        </w:tc>
      </w:tr>
      <w:tr>
        <w:tc>
          <w:tcPr>
            <w:tcW w:type="dxa" w:w="1800"/>
            <w:shd w:fill="F2F4F8" w:color="auto" w:val="clear"/>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Poland</w:t>
            </w:r>
          </w:p>
        </w:tc>
        <w:tc>
          <w:tcPr>
            <w:tcW w:type="dxa" w:w="14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1.8%</w:t>
            </w:r>
          </w:p>
        </w:tc>
        <w:tc>
          <w:tcPr>
            <w:tcW w:type="dxa" w:w="150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19,261</w:t>
            </w:r>
          </w:p>
        </w:tc>
        <w:tc>
          <w:tcPr>
            <w:tcW w:type="dxa" w:w="190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~350</w:t>
            </w:r>
          </w:p>
        </w:tc>
        <w:tc>
          <w:tcPr>
            <w:tcW w:type="dxa" w:w="13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2.39</w:t>
            </w:r>
          </w:p>
        </w:tc>
        <w:tc>
          <w:tcPr>
            <w:tcW w:type="dxa" w:w="136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3.3%</w:t>
            </w:r>
          </w:p>
        </w:tc>
      </w:tr>
      <w:tr>
        <w:tc>
          <w:tcPr>
            <w:tcW w:type="dxa" w:w="180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Portugal</w:t>
            </w:r>
          </w:p>
        </w:tc>
        <w:tc>
          <w:tcPr>
            <w:tcW w:type="dxa" w:w="14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3.7%</w:t>
            </w:r>
          </w:p>
        </w:tc>
        <w:tc>
          <w:tcPr>
            <w:tcW w:type="dxa" w:w="150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8,635</w:t>
            </w:r>
          </w:p>
        </w:tc>
        <w:tc>
          <w:tcPr>
            <w:tcW w:type="dxa" w:w="190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~323</w:t>
            </w:r>
          </w:p>
        </w:tc>
        <w:tc>
          <w:tcPr>
            <w:tcW w:type="dxa" w:w="13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2.87</w:t>
            </w:r>
          </w:p>
        </w:tc>
        <w:tc>
          <w:tcPr>
            <w:tcW w:type="dxa" w:w="136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1.9%</w:t>
            </w:r>
          </w:p>
        </w:tc>
      </w:tr>
      <w:tr>
        <w:tc>
          <w:tcPr>
            <w:tcW w:type="dxa" w:w="1800"/>
            <w:shd w:fill="F2F4F8" w:color="auto" w:val="clear"/>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Ireland</w:t>
            </w:r>
          </w:p>
        </w:tc>
        <w:tc>
          <w:tcPr>
            <w:tcW w:type="dxa" w:w="14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4.7%</w:t>
            </w:r>
          </w:p>
        </w:tc>
        <w:tc>
          <w:tcPr>
            <w:tcW w:type="dxa" w:w="150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5,597</w:t>
            </w:r>
          </w:p>
        </w:tc>
        <w:tc>
          <w:tcPr>
            <w:tcW w:type="dxa" w:w="190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~265</w:t>
            </w:r>
          </w:p>
        </w:tc>
        <w:tc>
          <w:tcPr>
            <w:tcW w:type="dxa" w:w="13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2.13</w:t>
            </w:r>
          </w:p>
        </w:tc>
        <w:tc>
          <w:tcPr>
            <w:tcW w:type="dxa" w:w="136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2.5%</w:t>
            </w:r>
          </w:p>
        </w:tc>
      </w:tr>
      <w:tr>
        <w:tc>
          <w:tcPr>
            <w:tcW w:type="dxa" w:w="180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Finland</w:t>
            </w:r>
          </w:p>
        </w:tc>
        <w:tc>
          <w:tcPr>
            <w:tcW w:type="dxa" w:w="14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5.2%</w:t>
            </w:r>
          </w:p>
        </w:tc>
        <w:tc>
          <w:tcPr>
            <w:tcW w:type="dxa" w:w="150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4,347</w:t>
            </w:r>
          </w:p>
        </w:tc>
        <w:tc>
          <w:tcPr>
            <w:tcW w:type="dxa" w:w="190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~224</w:t>
            </w:r>
          </w:p>
        </w:tc>
        <w:tc>
          <w:tcPr>
            <w:tcW w:type="dxa" w:w="13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2.48</w:t>
            </w:r>
          </w:p>
        </w:tc>
        <w:tc>
          <w:tcPr>
            <w:tcW w:type="dxa" w:w="136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1.0%</w:t>
            </w:r>
          </w:p>
        </w:tc>
      </w:tr>
      <w:tr>
        <w:tc>
          <w:tcPr>
            <w:tcW w:type="dxa" w:w="1800"/>
            <w:shd w:fill="F2F4F8" w:color="auto" w:val="clear"/>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Norway</w:t>
            </w:r>
          </w:p>
        </w:tc>
        <w:tc>
          <w:tcPr>
            <w:tcW w:type="dxa" w:w="14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3.2%</w:t>
            </w:r>
          </w:p>
        </w:tc>
        <w:tc>
          <w:tcPr>
            <w:tcW w:type="dxa" w:w="150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4,773</w:t>
            </w:r>
          </w:p>
        </w:tc>
        <w:tc>
          <w:tcPr>
            <w:tcW w:type="dxa" w:w="190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~153</w:t>
            </w:r>
          </w:p>
        </w:tc>
        <w:tc>
          <w:tcPr>
            <w:tcW w:type="dxa" w:w="13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2.37</w:t>
            </w:r>
          </w:p>
        </w:tc>
        <w:tc>
          <w:tcPr>
            <w:tcW w:type="dxa" w:w="136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1.5%</w:t>
            </w:r>
          </w:p>
        </w:tc>
      </w:tr>
    </w:tbl>
    <w:p>
      <w:pPr>
        <w:spacing w:after="220" w:before="80"/>
      </w:pPr>
      <w:r>
        <w:rPr>
          <w:rFonts w:ascii="Calibri" w:cs="Calibri" w:eastAsia="Calibri" w:hAnsi="Calibri"/>
          <w:i/>
          <w:iCs/>
          <w:color w:val="595959"/>
          <w:sz w:val="16"/>
          <w:szCs w:val="16"/>
        </w:rPr>
        <w:t xml:space="preserve">Table 3. Unmet-need rate derived from Eurostat 2024 ICT vacancy data (enterprises with 10+ employees); enterprise counts from Eurostat SBS 2023 (enterprises with 50+). Because larger firms recruit ICT staff more often than smaller ones, the account estimates are conservative. OECD EPRC measures strictness of protection against individual and collective dismissal on a 0–6 scale, 2019 values; the OECD average is approximately 2.1.</w:t>
      </w:r>
    </w:p>
    <w:p>
      <w:pPr>
        <w:pStyle w:val="Heading2"/>
        <w:spacing w:after="120" w:before="260"/>
      </w:pPr>
      <w:r>
        <w:rPr>
          <w:rFonts w:ascii="Calibri" w:cs="Calibri" w:eastAsia="Calibri" w:hAnsi="Calibri"/>
          <w:b/>
          <w:bCs/>
          <w:color w:val="1F3864"/>
          <w:sz w:val="24"/>
          <w:szCs w:val="24"/>
        </w:rPr>
        <w:t xml:space="preserve">4.2  Markets outside Eurostat coverage</w:t>
      </w:r>
    </w:p>
    <w:p>
      <w:pPr>
        <w:spacing w:after="120" w:before="0" w:line="276"/>
      </w:pPr>
      <w:r>
        <w:rPr>
          <w:rFonts w:ascii="Calibri" w:cs="Calibri" w:eastAsia="Calibri" w:hAnsi="Calibri"/>
          <w:color w:val="000000"/>
          <w:sz w:val="20"/>
          <w:szCs w:val="20"/>
        </w:rPr>
        <w:t xml:space="preserve">Ranked on a weaker basis — all-roles shortage rather than ICT-specific — and therefore kept separate rather than merged into the table above.</w:t>
      </w:r>
    </w:p>
    <w:tbl>
      <w:tblPr>
        <w:tblW w:type="dxa" w:w="9360"/>
        <w:tblBorders>
          <w:top w:val="single" w:color="BFBFBF" w:sz="4"/>
          <w:left w:val="none" w:color="FFFFFF" w:sz="0"/>
          <w:bottom w:val="single" w:color="BFBFBF" w:sz="4"/>
          <w:right w:val="none" w:color="FFFFFF" w:sz="0"/>
          <w:insideH w:val="single" w:color="BFBFBF" w:sz="2"/>
          <w:insideV w:val="none" w:color="FFFFFF" w:sz="0"/>
        </w:tblBorders>
      </w:tblPr>
      <w:tblGrid>
        <w:gridCol w:w="1900"/>
        <w:gridCol w:w="1750"/>
        <w:gridCol w:w="1450"/>
        <w:gridCol w:w="4260"/>
      </w:tblGrid>
      <w:tr>
        <w:trPr>
          <w:tblHeader/>
        </w:trPr>
        <w:tc>
          <w:tcPr>
            <w:tcW w:type="dxa" w:w="1900"/>
            <w:shd w:fill="1F3864" w:color="auto" w:val="clear"/>
            <w:tcMar>
              <w:top w:type="dxa" w:w="70"/>
              <w:left w:type="dxa" w:w="100"/>
              <w:bottom w:type="dxa" w:w="70"/>
              <w:right w:type="dxa" w:w="100"/>
            </w:tcMar>
          </w:tcPr>
          <w:p>
            <w:pPr>
              <w:spacing w:after="0" w:before="0" w:line="240"/>
            </w:pPr>
            <w:r>
              <w:rPr>
                <w:rFonts w:ascii="Calibri" w:cs="Calibri" w:eastAsia="Calibri" w:hAnsi="Calibri"/>
                <w:b/>
                <w:bCs/>
                <w:color w:val="FFFFFF"/>
                <w:sz w:val="18"/>
                <w:szCs w:val="18"/>
              </w:rPr>
              <w:t xml:space="preserve">Market</w:t>
            </w:r>
          </w:p>
        </w:tc>
        <w:tc>
          <w:tcPr>
            <w:tcW w:type="dxa" w:w="1750"/>
            <w:shd w:fill="1F3864" w:color="auto" w:val="clear"/>
            <w:tcMar>
              <w:top w:type="dxa" w:w="70"/>
              <w:left w:type="dxa" w:w="100"/>
              <w:bottom w:type="dxa" w:w="70"/>
              <w:right w:type="dxa" w:w="100"/>
            </w:tcMar>
          </w:tcPr>
          <w:p>
            <w:pPr>
              <w:spacing w:after="0" w:before="0" w:line="240"/>
              <w:jc w:val="right"/>
            </w:pPr>
            <w:r>
              <w:rPr>
                <w:rFonts w:ascii="Calibri" w:cs="Calibri" w:eastAsia="Calibri" w:hAnsi="Calibri"/>
                <w:b/>
                <w:bCs/>
                <w:color w:val="FFFFFF"/>
                <w:sz w:val="18"/>
                <w:szCs w:val="18"/>
              </w:rPr>
              <w:t xml:space="preserve">All-roles shortage</w:t>
            </w:r>
          </w:p>
        </w:tc>
        <w:tc>
          <w:tcPr>
            <w:tcW w:type="dxa" w:w="1450"/>
            <w:shd w:fill="1F3864" w:color="auto" w:val="clear"/>
            <w:tcMar>
              <w:top w:type="dxa" w:w="70"/>
              <w:left w:type="dxa" w:w="100"/>
              <w:bottom w:type="dxa" w:w="70"/>
              <w:right w:type="dxa" w:w="100"/>
            </w:tcMar>
          </w:tcPr>
          <w:p>
            <w:pPr>
              <w:spacing w:after="0" w:before="0" w:line="240"/>
              <w:jc w:val="right"/>
            </w:pPr>
            <w:r>
              <w:rPr>
                <w:rFonts w:ascii="Calibri" w:cs="Calibri" w:eastAsia="Calibri" w:hAnsi="Calibri"/>
                <w:b/>
                <w:bCs/>
                <w:color w:val="FFFFFF"/>
                <w:sz w:val="18"/>
                <w:szCs w:val="18"/>
              </w:rPr>
              <w:t xml:space="preserve">OECD EPRC</w:t>
            </w:r>
          </w:p>
        </w:tc>
        <w:tc>
          <w:tcPr>
            <w:tcW w:type="dxa" w:w="4260"/>
            <w:shd w:fill="1F3864" w:color="auto" w:val="clear"/>
            <w:tcMar>
              <w:top w:type="dxa" w:w="70"/>
              <w:left w:type="dxa" w:w="100"/>
              <w:bottom w:type="dxa" w:w="70"/>
              <w:right w:type="dxa" w:w="100"/>
            </w:tcMar>
          </w:tcPr>
          <w:p>
            <w:pPr>
              <w:spacing w:after="0" w:before="0" w:line="240"/>
            </w:pPr>
            <w:r>
              <w:rPr>
                <w:rFonts w:ascii="Calibri" w:cs="Calibri" w:eastAsia="Calibri" w:hAnsi="Calibri"/>
                <w:b/>
                <w:bCs/>
                <w:color w:val="FFFFFF"/>
                <w:sz w:val="18"/>
                <w:szCs w:val="18"/>
              </w:rPr>
              <w:t xml:space="preserve">Read</w:t>
            </w:r>
          </w:p>
        </w:tc>
      </w:tr>
      <w:tr>
        <w:tc>
          <w:tcPr>
            <w:tcW w:type="dxa" w:w="190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Japan</w:t>
            </w:r>
          </w:p>
        </w:tc>
        <w:tc>
          <w:tcPr>
            <w:tcW w:type="dxa" w:w="17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84%</w:t>
            </w:r>
          </w:p>
        </w:tc>
        <w:tc>
          <w:tcPr>
            <w:tcW w:type="dxa" w:w="14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2.08</w:t>
            </w:r>
          </w:p>
        </w:tc>
        <w:tc>
          <w:tcPr>
            <w:tcW w:type="dxa" w:w="426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Severe — a 790,000 IT shortfall projected by 2030 — but Japanese-language delivery and the bridge-engineer model make this a two-to-three-year play</w:t>
            </w:r>
          </w:p>
        </w:tc>
      </w:tr>
      <w:tr>
        <w:tc>
          <w:tcPr>
            <w:tcW w:type="dxa" w:w="1900"/>
            <w:shd w:fill="F2F4F8" w:color="auto" w:val="clear"/>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Türkiye</w:t>
            </w:r>
          </w:p>
        </w:tc>
        <w:tc>
          <w:tcPr>
            <w:tcW w:type="dxa" w:w="17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78%</w:t>
            </w:r>
          </w:p>
        </w:tc>
        <w:tc>
          <w:tcPr>
            <w:tcW w:type="dxa" w:w="14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2.95</w:t>
            </w:r>
          </w:p>
        </w:tc>
        <w:tc>
          <w:tcPr>
            <w:tcW w:type="dxa" w:w="426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High rigidity and 3.4% growth, but itself a nearshore supply market</w:t>
            </w:r>
          </w:p>
        </w:tc>
      </w:tr>
      <w:tr>
        <w:tc>
          <w:tcPr>
            <w:tcW w:type="dxa" w:w="190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UAE</w:t>
            </w:r>
          </w:p>
        </w:tc>
        <w:tc>
          <w:tcPr>
            <w:tcW w:type="dxa" w:w="17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76%</w:t>
            </w:r>
          </w:p>
        </w:tc>
        <w:tc>
          <w:tcPr>
            <w:tcW w:type="dxa" w:w="14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n/a</w:t>
            </w:r>
          </w:p>
        </w:tc>
        <w:tc>
          <w:tcPr>
            <w:tcW w:type="dxa" w:w="426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Section 7 — quota law substitutes for dismissal law</w:t>
            </w:r>
          </w:p>
        </w:tc>
      </w:tr>
      <w:tr>
        <w:tc>
          <w:tcPr>
            <w:tcW w:type="dxa" w:w="1900"/>
            <w:shd w:fill="F2F4F8" w:color="auto" w:val="clear"/>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Israel</w:t>
            </w:r>
          </w:p>
        </w:tc>
        <w:tc>
          <w:tcPr>
            <w:tcW w:type="dxa" w:w="17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75%</w:t>
            </w:r>
          </w:p>
        </w:tc>
        <w:tc>
          <w:tcPr>
            <w:tcW w:type="dxa" w:w="14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2.83</w:t>
            </w:r>
          </w:p>
        </w:tc>
        <w:tc>
          <w:tcPr>
            <w:tcW w:type="dxa" w:w="426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Rigid and growing at 3.5%, but a dense domestic engineering market</w:t>
            </w:r>
          </w:p>
        </w:tc>
      </w:tr>
      <w:tr>
        <w:tc>
          <w:tcPr>
            <w:tcW w:type="dxa" w:w="190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France</w:t>
            </w:r>
          </w:p>
        </w:tc>
        <w:tc>
          <w:tcPr>
            <w:tcW w:type="dxa" w:w="17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74%</w:t>
            </w:r>
          </w:p>
        </w:tc>
        <w:tc>
          <w:tcPr>
            <w:tcW w:type="dxa" w:w="14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2.68</w:t>
            </w:r>
          </w:p>
        </w:tc>
        <w:tc>
          <w:tcPr>
            <w:tcW w:type="dxa" w:w="426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Strong on the criteria; blocked by language and entrenched domestic ESN incumbents</w:t>
            </w:r>
          </w:p>
        </w:tc>
      </w:tr>
      <w:tr>
        <w:tc>
          <w:tcPr>
            <w:tcW w:type="dxa" w:w="1900"/>
            <w:shd w:fill="F2F4F8" w:color="auto" w:val="clear"/>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United Kingdom</w:t>
            </w:r>
          </w:p>
        </w:tc>
        <w:tc>
          <w:tcPr>
            <w:tcW w:type="dxa" w:w="17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73%</w:t>
            </w:r>
          </w:p>
        </w:tc>
        <w:tc>
          <w:tcPr>
            <w:tcW w:type="dxa" w:w="14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1.90</w:t>
            </w:r>
          </w:p>
        </w:tc>
        <w:tc>
          <w:tcPr>
            <w:tcW w:type="dxa" w:w="426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Fails the law test — target on a different thesis</w:t>
            </w:r>
          </w:p>
        </w:tc>
      </w:tr>
      <w:tr>
        <w:tc>
          <w:tcPr>
            <w:tcW w:type="dxa" w:w="190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Singapore</w:t>
            </w:r>
          </w:p>
        </w:tc>
        <w:tc>
          <w:tcPr>
            <w:tcW w:type="dxa" w:w="17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71%</w:t>
            </w:r>
          </w:p>
        </w:tc>
        <w:tc>
          <w:tcPr>
            <w:tcW w:type="dxa" w:w="1450"/>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n/a</w:t>
            </w:r>
          </w:p>
        </w:tc>
        <w:tc>
          <w:tcPr>
            <w:tcW w:type="dxa" w:w="426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Thriving and short of talent, but a deliberately flexible labour market</w:t>
            </w:r>
          </w:p>
        </w:tc>
      </w:tr>
      <w:tr>
        <w:tc>
          <w:tcPr>
            <w:tcW w:type="dxa" w:w="1900"/>
            <w:shd w:fill="F2F4F8" w:color="auto" w:val="clear"/>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United States</w:t>
            </w:r>
          </w:p>
        </w:tc>
        <w:tc>
          <w:tcPr>
            <w:tcW w:type="dxa" w:w="17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69%</w:t>
            </w:r>
          </w:p>
        </w:tc>
        <w:tc>
          <w:tcPr>
            <w:tcW w:type="dxa" w:w="1450"/>
            <w:shd w:fill="F2F4F8" w:color="auto" w:val="clear"/>
            <w:tcMar>
              <w:top w:type="dxa" w:w="70"/>
              <w:left w:type="dxa" w:w="100"/>
              <w:bottom w:type="dxa" w:w="70"/>
              <w:right w:type="dxa" w:w="100"/>
            </w:tcMar>
          </w:tcPr>
          <w:p>
            <w:pPr>
              <w:spacing w:after="0" w:before="0" w:line="240"/>
              <w:jc w:val="right"/>
            </w:pPr>
            <w:r>
              <w:rPr>
                <w:rFonts w:ascii="Calibri" w:cs="Calibri" w:eastAsia="Calibri" w:hAnsi="Calibri"/>
                <w:b w:val="false"/>
                <w:bCs w:val="false"/>
                <w:color w:val="000000"/>
                <w:sz w:val="18"/>
                <w:szCs w:val="18"/>
              </w:rPr>
              <w:t xml:space="preserve">1.31</w:t>
            </w:r>
          </w:p>
        </w:tc>
        <w:tc>
          <w:tcPr>
            <w:tcW w:type="dxa" w:w="426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Fails the law test decisively — the most flexible major market in the set</w:t>
            </w:r>
          </w:p>
        </w:tc>
      </w:tr>
    </w:tbl>
    <w:p>
      <w:pPr>
        <w:spacing w:after="220" w:before="80"/>
      </w:pPr>
      <w:r>
        <w:rPr>
          <w:rFonts w:ascii="Calibri" w:cs="Calibri" w:eastAsia="Calibri" w:hAnsi="Calibri"/>
          <w:i/>
          <w:iCs/>
          <w:color w:val="595959"/>
          <w:sz w:val="16"/>
          <w:szCs w:val="16"/>
        </w:rPr>
        <w:t xml:space="preserve">Table 4. ManpowerGroup 2026 Global Talent Shortage Survey (all roles, fieldwork October 2025); OECD EPL 2019.</w:t>
      </w:r>
    </w:p>
    <w:p>
      <w:pPr>
        <w:spacing w:before="240"/>
      </w:pPr>
      <w:r>
        <w:br w:type="page"/>
      </w:r>
    </w:p>
    <w:p>
      <w:pPr>
        <w:pStyle w:val="Heading1"/>
        <w:spacing w:after="160" w:before="360"/>
      </w:pPr>
      <w:r>
        <w:rPr>
          <w:rFonts w:ascii="Calibri" w:cs="Calibri" w:eastAsia="Calibri" w:hAnsi="Calibri"/>
          <w:b/>
          <w:bCs/>
          <w:color w:val="1F3864"/>
          <w:sz w:val="30"/>
          <w:szCs w:val="30"/>
        </w:rPr>
        <w:t xml:space="preserve">5.  Recommended target tiers</w:t>
      </w:r>
    </w:p>
    <w:p>
      <w:pPr>
        <w:pStyle w:val="Heading2"/>
        <w:spacing w:after="120" w:before="260"/>
      </w:pPr>
      <w:r>
        <w:rPr>
          <w:rFonts w:ascii="Calibri" w:cs="Calibri" w:eastAsia="Calibri" w:hAnsi="Calibri"/>
          <w:b/>
          <w:bCs/>
          <w:color w:val="1F3864"/>
          <w:sz w:val="24"/>
          <w:szCs w:val="24"/>
        </w:rPr>
        <w:t xml:space="preserve">Tier 1 — fund now</w:t>
      </w:r>
    </w:p>
    <w:p>
      <w:pPr>
        <w:pStyle w:val="Heading3"/>
        <w:spacing w:after="90" w:before="200"/>
      </w:pPr>
      <w:r>
        <w:rPr>
          <w:rFonts w:ascii="Calibri" w:cs="Calibri" w:eastAsia="Calibri" w:hAnsi="Calibri"/>
          <w:b/>
          <w:bCs/>
          <w:color w:val="C00000"/>
          <w:sz w:val="21"/>
          <w:szCs w:val="21"/>
        </w:rPr>
        <w:t xml:space="preserve">1.  Netherlands — the cleanest fit</w:t>
      </w:r>
    </w:p>
    <w:p>
      <w:pPr>
        <w:pStyle w:val="ListParagraph"/>
        <w:numPr>
          <w:ilvl w:val="0"/>
          <w:numId w:val="3"/>
        </w:numPr>
        <w:spacing w:after="80" w:line="276"/>
      </w:pPr>
      <w:r>
        <w:rPr>
          <w:rFonts w:ascii="Calibri" w:cs="Calibri" w:eastAsia="Calibri" w:hAnsi="Calibri"/>
          <w:b/>
          <w:bCs/>
          <w:color w:val="000000"/>
          <w:sz w:val="20"/>
          <w:szCs w:val="20"/>
        </w:rPr>
        <w:t xml:space="preserve">Talent. </w:t>
      </w:r>
      <w:r>
        <w:rPr>
          <w:rFonts w:ascii="Calibri" w:cs="Calibri" w:eastAsia="Calibri" w:hAnsi="Calibri"/>
          <w:color w:val="000000"/>
          <w:sz w:val="20"/>
          <w:szCs w:val="20"/>
        </w:rPr>
        <w:t xml:space="preserve">63.1% of Dutch enterprises that tried to recruit ICT specialists could not fill the roles, and 15.3% of all enterprises were recruiting them — the second-highest recruitment intensity in Europe. Combined, the highest unmet need of any major European economy at 9.7%.</w:t>
      </w:r>
    </w:p>
    <w:p>
      <w:pPr>
        <w:pStyle w:val="ListParagraph"/>
        <w:numPr>
          <w:ilvl w:val="0"/>
          <w:numId w:val="3"/>
        </w:numPr>
        <w:spacing w:after="80" w:line="276"/>
      </w:pPr>
      <w:r>
        <w:rPr>
          <w:rFonts w:ascii="Calibri" w:cs="Calibri" w:eastAsia="Calibri" w:hAnsi="Calibri"/>
          <w:b/>
          <w:bCs/>
          <w:color w:val="000000"/>
          <w:sz w:val="20"/>
          <w:szCs w:val="20"/>
        </w:rPr>
        <w:t xml:space="preserve">Law. </w:t>
      </w:r>
      <w:r>
        <w:rPr>
          <w:rFonts w:ascii="Calibri" w:cs="Calibri" w:eastAsia="Calibri" w:hAnsi="Calibri"/>
          <w:color w:val="000000"/>
          <w:sz w:val="20"/>
          <w:szCs w:val="20"/>
        </w:rPr>
        <w:t xml:space="preserve">OECD EPRC 2.88 — fifth-strictest in the OECD, well above the 2.1 average.</w:t>
      </w:r>
    </w:p>
    <w:p>
      <w:pPr>
        <w:pStyle w:val="ListParagraph"/>
        <w:numPr>
          <w:ilvl w:val="0"/>
          <w:numId w:val="3"/>
        </w:numPr>
        <w:spacing w:after="80" w:line="276"/>
      </w:pPr>
      <w:r>
        <w:rPr>
          <w:rFonts w:ascii="Calibri" w:cs="Calibri" w:eastAsia="Calibri" w:hAnsi="Calibri"/>
          <w:b/>
          <w:bCs/>
          <w:color w:val="000000"/>
          <w:sz w:val="20"/>
          <w:szCs w:val="20"/>
        </w:rPr>
        <w:t xml:space="preserve">The decisive change. </w:t>
      </w:r>
      <w:r>
        <w:rPr>
          <w:rFonts w:ascii="Calibri" w:cs="Calibri" w:eastAsia="Calibri" w:hAnsi="Calibri"/>
          <w:color w:val="000000"/>
          <w:sz w:val="20"/>
          <w:szCs w:val="20"/>
        </w:rPr>
        <w:t xml:space="preserve">The enforcement moratorium on the Wet DBA ended on 1 January 2025, and from 1 January 2026 the tax authority can again impose serious-fault penalties for false self-employment. The standard Dutch answer to a hiring freeze — engage a ZZP freelancer — has just become a tax and social-security risk carried by the client. That pushes demand toward contracted service delivery, which is precisely what xLoop sells.</w:t>
      </w:r>
    </w:p>
    <w:p>
      <w:pPr>
        <w:pStyle w:val="ListParagraph"/>
        <w:numPr>
          <w:ilvl w:val="0"/>
          <w:numId w:val="3"/>
        </w:numPr>
        <w:spacing w:after="80" w:line="276"/>
      </w:pPr>
      <w:r>
        <w:rPr>
          <w:rFonts w:ascii="Calibri" w:cs="Calibri" w:eastAsia="Calibri" w:hAnsi="Calibri"/>
          <w:b/>
          <w:bCs/>
          <w:color w:val="000000"/>
          <w:sz w:val="20"/>
          <w:szCs w:val="20"/>
        </w:rPr>
        <w:t xml:space="preserve">Spend. </w:t>
      </w:r>
      <w:r>
        <w:rPr>
          <w:rFonts w:ascii="Calibri" w:cs="Calibri" w:eastAsia="Calibri" w:hAnsi="Calibri"/>
          <w:color w:val="000000"/>
          <w:sz w:val="20"/>
          <w:szCs w:val="20"/>
        </w:rPr>
        <w:t xml:space="preserve">The Dutch IT services market is forecast to grow from roughly $19.2bn in 2025 to $21.6bn in 2026.</w:t>
      </w:r>
    </w:p>
    <w:p>
      <w:pPr>
        <w:pStyle w:val="ListParagraph"/>
        <w:numPr>
          <w:ilvl w:val="0"/>
          <w:numId w:val="3"/>
        </w:numPr>
        <w:spacing w:after="80" w:line="276"/>
      </w:pPr>
      <w:r>
        <w:rPr>
          <w:rFonts w:ascii="Calibri" w:cs="Calibri" w:eastAsia="Calibri" w:hAnsi="Calibri"/>
          <w:b/>
          <w:bCs/>
          <w:color w:val="000000"/>
          <w:sz w:val="20"/>
          <w:szCs w:val="20"/>
        </w:rPr>
        <w:t xml:space="preserve">Servability. </w:t>
      </w:r>
      <w:r>
        <w:rPr>
          <w:rFonts w:ascii="Calibri" w:cs="Calibri" w:eastAsia="Calibri" w:hAnsi="Calibri"/>
          <w:color w:val="000000"/>
          <w:sz w:val="20"/>
          <w:szCs w:val="20"/>
        </w:rPr>
        <w:t xml:space="preserve">Very high English proficiency, mature acceptance of offshore delivery, and Karachi sits three to four hours ahead of Amsterdam — a full working-day overlap.</w:t>
      </w:r>
    </w:p>
    <w:p>
      <w:pPr>
        <w:pStyle w:val="ListParagraph"/>
        <w:numPr>
          <w:ilvl w:val="0"/>
          <w:numId w:val="3"/>
        </w:numPr>
        <w:spacing w:after="80" w:line="276"/>
      </w:pPr>
      <w:r>
        <w:rPr>
          <w:rFonts w:ascii="Calibri" w:cs="Calibri" w:eastAsia="Calibri" w:hAnsi="Calibri"/>
          <w:b/>
          <w:bCs/>
          <w:color w:val="000000"/>
          <w:sz w:val="20"/>
          <w:szCs w:val="20"/>
        </w:rPr>
        <w:t xml:space="preserve">Watch. </w:t>
      </w:r>
      <w:r>
        <w:rPr>
          <w:rFonts w:ascii="Calibri" w:cs="Calibri" w:eastAsia="Calibri" w:hAnsi="Calibri"/>
          <w:color w:val="000000"/>
          <w:sz w:val="20"/>
          <w:szCs w:val="20"/>
        </w:rPr>
        <w:t xml:space="preserve">A small market: roughly 1,330 addressable accounts. It rewards depth, not volume outbound.</w:t>
      </w:r>
    </w:p>
    <w:p>
      <w:pPr>
        <w:pStyle w:val="Heading3"/>
        <w:spacing w:after="90" w:before="200"/>
      </w:pPr>
      <w:r>
        <w:rPr>
          <w:rFonts w:ascii="Calibri" w:cs="Calibri" w:eastAsia="Calibri" w:hAnsi="Calibri"/>
          <w:b/>
          <w:bCs/>
          <w:color w:val="C00000"/>
          <w:sz w:val="21"/>
          <w:szCs w:val="21"/>
        </w:rPr>
        <w:t xml:space="preserve">2.  Germany — the volume prize</w:t>
      </w:r>
    </w:p>
    <w:p>
      <w:pPr>
        <w:pStyle w:val="ListParagraph"/>
        <w:numPr>
          <w:ilvl w:val="0"/>
          <w:numId w:val="3"/>
        </w:numPr>
        <w:spacing w:after="80" w:line="276"/>
      </w:pPr>
      <w:r>
        <w:rPr>
          <w:rFonts w:ascii="Calibri" w:cs="Calibri" w:eastAsia="Calibri" w:hAnsi="Calibri"/>
          <w:b/>
          <w:bCs/>
          <w:color w:val="000000"/>
          <w:sz w:val="20"/>
          <w:szCs w:val="20"/>
        </w:rPr>
        <w:t xml:space="preserve">Talent. </w:t>
      </w:r>
      <w:r>
        <w:rPr>
          <w:rFonts w:ascii="Calibri" w:cs="Calibri" w:eastAsia="Calibri" w:hAnsi="Calibri"/>
          <w:color w:val="000000"/>
          <w:sz w:val="20"/>
          <w:szCs w:val="20"/>
        </w:rPr>
        <w:t xml:space="preserve">The worst technology shortage in Europe. 72.4% of recruiting enterprises cannot fill ICT vacancies. Bitkom counts roughly 109,000 unfilled IT positions, 85% of companies report a shortage, 79% expect it to worsen, and the average vacancy takes </w:t>
      </w:r>
      <w:r>
        <w:rPr>
          <w:rFonts w:ascii="Calibri" w:cs="Calibri" w:eastAsia="Calibri" w:hAnsi="Calibri"/>
          <w:b/>
          <w:bCs/>
          <w:color w:val="000000"/>
          <w:sz w:val="20"/>
          <w:szCs w:val="20"/>
        </w:rPr>
        <w:t xml:space="preserve">7.7 months</w:t>
      </w:r>
      <w:r>
        <w:rPr>
          <w:rFonts w:ascii="Calibri" w:cs="Calibri" w:eastAsia="Calibri" w:hAnsi="Calibri"/>
          <w:color w:val="000000"/>
          <w:sz w:val="20"/>
          <w:szCs w:val="20"/>
        </w:rPr>
        <w:t xml:space="preserve"> to fill.</w:t>
      </w:r>
    </w:p>
    <w:p>
      <w:pPr>
        <w:pStyle w:val="ListParagraph"/>
        <w:numPr>
          <w:ilvl w:val="0"/>
          <w:numId w:val="3"/>
        </w:numPr>
        <w:spacing w:after="80" w:line="276"/>
      </w:pPr>
      <w:r>
        <w:rPr>
          <w:rFonts w:ascii="Calibri" w:cs="Calibri" w:eastAsia="Calibri" w:hAnsi="Calibri"/>
          <w:b/>
          <w:bCs/>
          <w:color w:val="000000"/>
          <w:sz w:val="20"/>
          <w:szCs w:val="20"/>
        </w:rPr>
        <w:t xml:space="preserve">Volume. </w:t>
      </w:r>
      <w:r>
        <w:rPr>
          <w:rFonts w:ascii="Calibri" w:cs="Calibri" w:eastAsia="Calibri" w:hAnsi="Calibri"/>
          <w:color w:val="000000"/>
          <w:sz w:val="20"/>
          <w:szCs w:val="20"/>
        </w:rPr>
        <w:t xml:space="preserve">About 6,980 mid-and-large enterprises carrying an unfilled technology hiring need — five times the Netherlands, and more than the next four markets combined.</w:t>
      </w:r>
    </w:p>
    <w:p>
      <w:pPr>
        <w:pStyle w:val="ListParagraph"/>
        <w:numPr>
          <w:ilvl w:val="0"/>
          <w:numId w:val="3"/>
        </w:numPr>
        <w:spacing w:after="80" w:line="276"/>
      </w:pPr>
      <w:r>
        <w:rPr>
          <w:rFonts w:ascii="Calibri" w:cs="Calibri" w:eastAsia="Calibri" w:hAnsi="Calibri"/>
          <w:b/>
          <w:bCs/>
          <w:color w:val="000000"/>
          <w:sz w:val="20"/>
          <w:szCs w:val="20"/>
        </w:rPr>
        <w:t xml:space="preserve">Law. </w:t>
      </w:r>
      <w:r>
        <w:rPr>
          <w:rFonts w:ascii="Calibri" w:cs="Calibri" w:eastAsia="Calibri" w:hAnsi="Calibri"/>
          <w:color w:val="000000"/>
          <w:sz w:val="20"/>
          <w:szCs w:val="20"/>
        </w:rPr>
        <w:t xml:space="preserve">EPRC 2.33, above the OECD average, but the dismissal index understates Germany. The operative constraints are the AÜG 18-month cap on assigning the same worker to the same client, aggressive Deutsche Rentenversicherung enforcement against </w:t>
      </w:r>
      <w:r>
        <w:rPr>
          <w:rFonts w:ascii="Calibri" w:cs="Calibri" w:eastAsia="Calibri" w:hAnsi="Calibri"/>
          <w:i/>
          <w:iCs/>
          <w:color w:val="000000"/>
          <w:sz w:val="20"/>
          <w:szCs w:val="20"/>
        </w:rPr>
        <w:t xml:space="preserve">Scheinselbständigkeit</w:t>
      </w:r>
      <w:r>
        <w:rPr>
          <w:rFonts w:ascii="Calibri" w:cs="Calibri" w:eastAsia="Calibri" w:hAnsi="Calibri"/>
          <w:color w:val="000000"/>
          <w:sz w:val="20"/>
          <w:szCs w:val="20"/>
        </w:rPr>
        <w:t xml:space="preserve">, and works council co-determination once headcount thresholds are crossed — thresholds that leased workers count toward.</w:t>
      </w:r>
    </w:p>
    <w:p>
      <w:pPr>
        <w:pStyle w:val="ListParagraph"/>
        <w:numPr>
          <w:ilvl w:val="0"/>
          <w:numId w:val="3"/>
        </w:numPr>
        <w:spacing w:after="80" w:line="276"/>
      </w:pPr>
      <w:r>
        <w:rPr>
          <w:rFonts w:ascii="Calibri" w:cs="Calibri" w:eastAsia="Calibri" w:hAnsi="Calibri"/>
          <w:b/>
          <w:bCs/>
          <w:color w:val="000000"/>
          <w:sz w:val="20"/>
          <w:szCs w:val="20"/>
        </w:rPr>
        <w:t xml:space="preserve">Direction of travel. </w:t>
      </w:r>
      <w:r>
        <w:rPr>
          <w:rFonts w:ascii="Calibri" w:cs="Calibri" w:eastAsia="Calibri" w:hAnsi="Calibri"/>
          <w:color w:val="000000"/>
          <w:sz w:val="20"/>
          <w:szCs w:val="20"/>
        </w:rPr>
        <w:t xml:space="preserve">In a 2024 German IT sourcing survey, 58% of the largest IT-spending organisations planned to outsource at the same rate or more over the following two years, and 44% planned to increase nearshore activity specifically.</w:t>
      </w:r>
    </w:p>
    <w:p>
      <w:pPr>
        <w:pStyle w:val="ListParagraph"/>
        <w:numPr>
          <w:ilvl w:val="0"/>
          <w:numId w:val="3"/>
        </w:numPr>
        <w:spacing w:after="80" w:line="276"/>
      </w:pPr>
      <w:r>
        <w:rPr>
          <w:rFonts w:ascii="Calibri" w:cs="Calibri" w:eastAsia="Calibri" w:hAnsi="Calibri"/>
          <w:b/>
          <w:bCs/>
          <w:color w:val="000000"/>
          <w:sz w:val="20"/>
          <w:szCs w:val="20"/>
        </w:rPr>
        <w:t xml:space="preserve">Watch. </w:t>
      </w:r>
      <w:r>
        <w:rPr>
          <w:rFonts w:ascii="Calibri" w:cs="Calibri" w:eastAsia="Calibri" w:hAnsi="Calibri"/>
          <w:color w:val="000000"/>
          <w:sz w:val="20"/>
          <w:szCs w:val="20"/>
        </w:rPr>
        <w:t xml:space="preserve">0.8% GDP growth, a German-language expectation across the Mittelstand, long procurement cycles, and a conservative disposition toward non-European delivery. Germany is the largest prize and the slowest sale. Fund it as a nine-to-twelve-month build, not a quarter.</w:t>
      </w:r>
    </w:p>
    <w:p>
      <w:pPr>
        <w:pStyle w:val="Heading3"/>
        <w:spacing w:after="90" w:before="200"/>
      </w:pPr>
      <w:r>
        <w:rPr>
          <w:rFonts w:ascii="Calibri" w:cs="Calibri" w:eastAsia="Calibri" w:hAnsi="Calibri"/>
          <w:b/>
          <w:bCs/>
          <w:color w:val="C00000"/>
          <w:sz w:val="21"/>
          <w:szCs w:val="21"/>
        </w:rPr>
        <w:t xml:space="preserve">3.  Belgium — small market, strongest legal push</w:t>
      </w:r>
    </w:p>
    <w:p>
      <w:pPr>
        <w:pStyle w:val="ListParagraph"/>
        <w:numPr>
          <w:ilvl w:val="0"/>
          <w:numId w:val="3"/>
        </w:numPr>
        <w:spacing w:after="80" w:line="276"/>
      </w:pPr>
      <w:r>
        <w:rPr>
          <w:rFonts w:ascii="Calibri" w:cs="Calibri" w:eastAsia="Calibri" w:hAnsi="Calibri"/>
          <w:b/>
          <w:bCs/>
          <w:color w:val="000000"/>
          <w:sz w:val="20"/>
          <w:szCs w:val="20"/>
        </w:rPr>
        <w:t xml:space="preserve">Talent. </w:t>
      </w:r>
      <w:r>
        <w:rPr>
          <w:rFonts w:ascii="Calibri" w:cs="Calibri" w:eastAsia="Calibri" w:hAnsi="Calibri"/>
          <w:color w:val="000000"/>
          <w:sz w:val="20"/>
          <w:szCs w:val="20"/>
        </w:rPr>
        <w:t xml:space="preserve">62.5% cannot fill ICT vacancies and 14.5% of enterprises were recruiting them. Unmet need 9.1%, third in Europe.</w:t>
      </w:r>
    </w:p>
    <w:p>
      <w:pPr>
        <w:pStyle w:val="ListParagraph"/>
        <w:numPr>
          <w:ilvl w:val="0"/>
          <w:numId w:val="3"/>
        </w:numPr>
        <w:spacing w:after="80" w:line="276"/>
      </w:pPr>
      <w:r>
        <w:rPr>
          <w:rFonts w:ascii="Calibri" w:cs="Calibri" w:eastAsia="Calibri" w:hAnsi="Calibri"/>
          <w:b/>
          <w:bCs/>
          <w:color w:val="000000"/>
          <w:sz w:val="20"/>
          <w:szCs w:val="20"/>
        </w:rPr>
        <w:t xml:space="preserve">Law. </w:t>
      </w:r>
      <w:r>
        <w:rPr>
          <w:rFonts w:ascii="Calibri" w:cs="Calibri" w:eastAsia="Calibri" w:hAnsi="Calibri"/>
          <w:color w:val="000000"/>
          <w:sz w:val="20"/>
          <w:szCs w:val="20"/>
        </w:rPr>
        <w:t xml:space="preserve">EPRC 2.71, plus the single strongest structural argument in Europe. Article 31 of the Act of 24 July 1987 </w:t>
      </w:r>
      <w:r>
        <w:rPr>
          <w:rFonts w:ascii="Calibri" w:cs="Calibri" w:eastAsia="Calibri" w:hAnsi="Calibri"/>
          <w:b/>
          <w:bCs/>
          <w:color w:val="000000"/>
          <w:sz w:val="20"/>
          <w:szCs w:val="20"/>
        </w:rPr>
        <w:t xml:space="preserve">prohibits</w:t>
      </w:r>
      <w:r>
        <w:rPr>
          <w:rFonts w:ascii="Calibri" w:cs="Calibri" w:eastAsia="Calibri" w:hAnsi="Calibri"/>
          <w:color w:val="000000"/>
          <w:sz w:val="20"/>
          <w:szCs w:val="20"/>
        </w:rPr>
        <w:t xml:space="preserve"> an employer from making its employees available to a third party that exercises any part of employer authority over them. Client instructions must be limited to the agreed work and set out expressly in writing. Conventional body-shopping is not merely risky in Belgium — it is unlawful, and the Court of Cassation has taken a hard line.</w:t>
      </w:r>
    </w:p>
    <w:p>
      <w:pPr>
        <w:pStyle w:val="ListParagraph"/>
        <w:numPr>
          <w:ilvl w:val="0"/>
          <w:numId w:val="3"/>
        </w:numPr>
        <w:spacing w:after="80" w:line="276"/>
      </w:pPr>
      <w:r>
        <w:rPr>
          <w:rFonts w:ascii="Calibri" w:cs="Calibri" w:eastAsia="Calibri" w:hAnsi="Calibri"/>
          <w:b/>
          <w:bCs/>
          <w:color w:val="000000"/>
          <w:sz w:val="20"/>
          <w:szCs w:val="20"/>
        </w:rPr>
        <w:t xml:space="preserve">Servability. </w:t>
      </w:r>
      <w:r>
        <w:rPr>
          <w:rFonts w:ascii="Calibri" w:cs="Calibri" w:eastAsia="Calibri" w:hAnsi="Calibri"/>
          <w:color w:val="000000"/>
          <w:sz w:val="20"/>
          <w:szCs w:val="20"/>
        </w:rPr>
        <w:t xml:space="preserve">English works in Brussels and Flanders; a dense financial, logistics and EU-institutional base.</w:t>
      </w:r>
    </w:p>
    <w:p>
      <w:pPr>
        <w:pStyle w:val="ListParagraph"/>
        <w:numPr>
          <w:ilvl w:val="0"/>
          <w:numId w:val="3"/>
        </w:numPr>
        <w:spacing w:after="80" w:line="276"/>
      </w:pPr>
      <w:r>
        <w:rPr>
          <w:rFonts w:ascii="Calibri" w:cs="Calibri" w:eastAsia="Calibri" w:hAnsi="Calibri"/>
          <w:b/>
          <w:bCs/>
          <w:color w:val="000000"/>
          <w:sz w:val="20"/>
          <w:szCs w:val="20"/>
        </w:rPr>
        <w:t xml:space="preserve">Watch. </w:t>
      </w:r>
      <w:r>
        <w:rPr>
          <w:rFonts w:ascii="Calibri" w:cs="Calibri" w:eastAsia="Calibri" w:hAnsi="Calibri"/>
          <w:color w:val="000000"/>
          <w:sz w:val="20"/>
          <w:szCs w:val="20"/>
        </w:rPr>
        <w:t xml:space="preserve">Roughly 660 addressable accounts. Treat as a named-account market, not a campaign market.</w:t>
      </w:r>
    </w:p>
    <w:p>
      <w:pPr>
        <w:pStyle w:val="Heading2"/>
        <w:spacing w:after="120" w:before="260"/>
      </w:pPr>
      <w:r>
        <w:rPr>
          <w:rFonts w:ascii="Calibri" w:cs="Calibri" w:eastAsia="Calibri" w:hAnsi="Calibri"/>
          <w:b/>
          <w:bCs/>
          <w:color w:val="1F3864"/>
          <w:sz w:val="24"/>
          <w:szCs w:val="24"/>
        </w:rPr>
        <w:t xml:space="preserve">Tier 2 — build behind Tier 1</w:t>
      </w:r>
    </w:p>
    <w:p>
      <w:pPr>
        <w:pStyle w:val="ListParagraph"/>
        <w:numPr>
          <w:ilvl w:val="0"/>
          <w:numId w:val="3"/>
        </w:numPr>
        <w:spacing w:after="80" w:line="276"/>
      </w:pPr>
      <w:r>
        <w:rPr>
          <w:rFonts w:ascii="Calibri" w:cs="Calibri" w:eastAsia="Calibri" w:hAnsi="Calibri"/>
          <w:b/>
          <w:bCs/>
          <w:color w:val="000000"/>
          <w:sz w:val="20"/>
          <w:szCs w:val="20"/>
        </w:rPr>
        <w:t xml:space="preserve">UAE and Saudi Arabia </w:t>
      </w:r>
      <w:r>
        <w:rPr>
          <w:rFonts w:ascii="Calibri" w:cs="Calibri" w:eastAsia="Calibri" w:hAnsi="Calibri"/>
          <w:color w:val="000000"/>
          <w:sz w:val="20"/>
          <w:szCs w:val="20"/>
        </w:rPr>
        <w:t xml:space="preserve">— the exception that earns its place through a different mechanism. See section 7. xLoop has regional HQs in Dubai and Doha and delivery evidence in Saudi Arabia, which makes this the fastest market in which to test the thesis at all.</w:t>
      </w:r>
    </w:p>
    <w:p>
      <w:pPr>
        <w:pStyle w:val="ListParagraph"/>
        <w:numPr>
          <w:ilvl w:val="0"/>
          <w:numId w:val="3"/>
        </w:numPr>
        <w:spacing w:after="80" w:line="276"/>
      </w:pPr>
      <w:r>
        <w:rPr>
          <w:rFonts w:ascii="Calibri" w:cs="Calibri" w:eastAsia="Calibri" w:hAnsi="Calibri"/>
          <w:b/>
          <w:bCs/>
          <w:color w:val="000000"/>
          <w:sz w:val="20"/>
          <w:szCs w:val="20"/>
        </w:rPr>
        <w:t xml:space="preserve">Sweden and Denmark </w:t>
      </w:r>
      <w:r>
        <w:rPr>
          <w:rFonts w:ascii="Calibri" w:cs="Calibri" w:eastAsia="Calibri" w:hAnsi="Calibri"/>
          <w:color w:val="000000"/>
          <w:sz w:val="20"/>
          <w:szCs w:val="20"/>
        </w:rPr>
        <w:t xml:space="preserve">— Sweden scores EPRC 2.54 with seniority-based redundancy rules and 5.4% unmet need. Denmark has the highest ICT recruitment intensity in Europe at 16% of all enterprises but a deliberately flexible dismissal regime (EPRC 1.94), so it passes the talent and spend tests and fails the law test. Both have excellent English and an established outsourcing culture. Sell Sweden on Bucket 1 logic; sell Denmark on speed and cost.</w:t>
      </w:r>
    </w:p>
    <w:p>
      <w:pPr>
        <w:pStyle w:val="ListParagraph"/>
        <w:numPr>
          <w:ilvl w:val="0"/>
          <w:numId w:val="3"/>
        </w:numPr>
        <w:spacing w:after="80" w:line="276"/>
      </w:pPr>
      <w:r>
        <w:rPr>
          <w:rFonts w:ascii="Calibri" w:cs="Calibri" w:eastAsia="Calibri" w:hAnsi="Calibri"/>
          <w:b/>
          <w:bCs/>
          <w:color w:val="000000"/>
          <w:sz w:val="20"/>
          <w:szCs w:val="20"/>
        </w:rPr>
        <w:t xml:space="preserve">Austria </w:t>
      </w:r>
      <w:r>
        <w:rPr>
          <w:rFonts w:ascii="Calibri" w:cs="Calibri" w:eastAsia="Calibri" w:hAnsi="Calibri"/>
          <w:color w:val="000000"/>
          <w:sz w:val="20"/>
          <w:szCs w:val="20"/>
        </w:rPr>
        <w:t xml:space="preserve">— 67.3% cannot fill ICT vacancies, fourth-worst in Europe, but EPRC 1.80 sits below the OECD average. Worth running in Germany’s slipstream on shared German-language material rather than as a separate programme.</w:t>
      </w:r>
    </w:p>
    <w:p>
      <w:pPr>
        <w:pStyle w:val="Heading2"/>
        <w:spacing w:after="120" w:before="260"/>
      </w:pPr>
      <w:r>
        <w:rPr>
          <w:rFonts w:ascii="Calibri" w:cs="Calibri" w:eastAsia="Calibri" w:hAnsi="Calibri"/>
          <w:b/>
          <w:bCs/>
          <w:color w:val="1F3864"/>
          <w:sz w:val="24"/>
          <w:szCs w:val="24"/>
        </w:rPr>
        <w:t xml:space="preserve">Tier 3 — watch, do not fund yet</w:t>
      </w:r>
    </w:p>
    <w:p>
      <w:pPr>
        <w:pStyle w:val="ListParagraph"/>
        <w:numPr>
          <w:ilvl w:val="0"/>
          <w:numId w:val="3"/>
        </w:numPr>
        <w:spacing w:after="80" w:line="276"/>
      </w:pPr>
      <w:r>
        <w:rPr>
          <w:rFonts w:ascii="Calibri" w:cs="Calibri" w:eastAsia="Calibri" w:hAnsi="Calibri"/>
          <w:b/>
          <w:bCs/>
          <w:color w:val="000000"/>
          <w:sz w:val="20"/>
          <w:szCs w:val="20"/>
        </w:rPr>
        <w:t xml:space="preserve">France </w:t>
      </w:r>
      <w:r>
        <w:rPr>
          <w:rFonts w:ascii="Calibri" w:cs="Calibri" w:eastAsia="Calibri" w:hAnsi="Calibri"/>
          <w:color w:val="000000"/>
          <w:sz w:val="20"/>
          <w:szCs w:val="20"/>
        </w:rPr>
        <w:t xml:space="preserve">— 74% all-roles shortage, EPRC 2.68, and a legal regime that actively rewards outcome-based contracting (section 6). Held back only by language and by entrenched domestic ESN incumbents. Revisit once a French-capable seller exists.</w:t>
      </w:r>
    </w:p>
    <w:p>
      <w:pPr>
        <w:pStyle w:val="ListParagraph"/>
        <w:numPr>
          <w:ilvl w:val="0"/>
          <w:numId w:val="3"/>
        </w:numPr>
        <w:spacing w:after="80" w:line="276"/>
      </w:pPr>
      <w:r>
        <w:rPr>
          <w:rFonts w:ascii="Calibri" w:cs="Calibri" w:eastAsia="Calibri" w:hAnsi="Calibri"/>
          <w:b/>
          <w:bCs/>
          <w:color w:val="000000"/>
          <w:sz w:val="20"/>
          <w:szCs w:val="20"/>
        </w:rPr>
        <w:t xml:space="preserve">Ireland </w:t>
      </w:r>
      <w:r>
        <w:rPr>
          <w:rFonts w:ascii="Calibri" w:cs="Calibri" w:eastAsia="Calibri" w:hAnsi="Calibri"/>
          <w:color w:val="000000"/>
          <w:sz w:val="20"/>
          <w:szCs w:val="20"/>
        </w:rPr>
        <w:t xml:space="preserve">— 2.5% growth, English-speaking, and home to the EMEA hubs of US multinationals. But EPRC 2.13 is near the OECD average and unmet need is only 4.7%; it fails the rigidity test that defines this bucket.</w:t>
      </w:r>
    </w:p>
    <w:p>
      <w:pPr>
        <w:pStyle w:val="ListParagraph"/>
        <w:numPr>
          <w:ilvl w:val="0"/>
          <w:numId w:val="3"/>
        </w:numPr>
        <w:spacing w:after="80" w:line="276"/>
      </w:pPr>
      <w:r>
        <w:rPr>
          <w:rFonts w:ascii="Calibri" w:cs="Calibri" w:eastAsia="Calibri" w:hAnsi="Calibri"/>
          <w:b/>
          <w:bCs/>
          <w:color w:val="000000"/>
          <w:sz w:val="20"/>
          <w:szCs w:val="20"/>
        </w:rPr>
        <w:t xml:space="preserve">Japan </w:t>
      </w:r>
      <w:r>
        <w:rPr>
          <w:rFonts w:ascii="Calibri" w:cs="Calibri" w:eastAsia="Calibri" w:hAnsi="Calibri"/>
          <w:color w:val="000000"/>
          <w:sz w:val="20"/>
          <w:szCs w:val="20"/>
        </w:rPr>
        <w:t xml:space="preserve">— the strongest raw case anywhere: 84% shortage, a projected 790,000 IT shortfall by 2030, and METI’s legacy-modernisation warning still live. Blocked by Japanese-language delivery expectations and the bridge-engineer model. A deliberate two-to-three-year play, not a lead-generation target.</w:t>
      </w:r>
    </w:p>
    <w:p>
      <w:pPr>
        <w:pStyle w:val="ListParagraph"/>
        <w:numPr>
          <w:ilvl w:val="0"/>
          <w:numId w:val="3"/>
        </w:numPr>
        <w:spacing w:after="80" w:line="276"/>
      </w:pPr>
      <w:r>
        <w:rPr>
          <w:rFonts w:ascii="Calibri" w:cs="Calibri" w:eastAsia="Calibri" w:hAnsi="Calibri"/>
          <w:b/>
          <w:bCs/>
          <w:color w:val="000000"/>
          <w:sz w:val="20"/>
          <w:szCs w:val="20"/>
        </w:rPr>
        <w:t xml:space="preserve">Italy </w:t>
      </w:r>
      <w:r>
        <w:rPr>
          <w:rFonts w:ascii="Calibri" w:cs="Calibri" w:eastAsia="Calibri" w:hAnsi="Calibri"/>
          <w:color w:val="000000"/>
          <w:sz w:val="20"/>
          <w:szCs w:val="20"/>
        </w:rPr>
        <w:t xml:space="preserve">— EPRC 2.86 and 58.4% hard-to-fill, but only 5% of enterprises were recruiting ICT staff at all and GDP growth is 0.5%. The rigidity is real; the demand is not.</w:t>
      </w:r>
    </w:p>
    <w:p>
      <w:pPr>
        <w:pStyle w:val="Heading2"/>
        <w:spacing w:after="120" w:before="260"/>
      </w:pPr>
      <w:r>
        <w:rPr>
          <w:rFonts w:ascii="Calibri" w:cs="Calibri" w:eastAsia="Calibri" w:hAnsi="Calibri"/>
          <w:b/>
          <w:bCs/>
          <w:color w:val="1F3864"/>
          <w:sz w:val="24"/>
          <w:szCs w:val="24"/>
        </w:rPr>
        <w:t xml:space="preserve">Do not target on this thesis</w:t>
      </w:r>
    </w:p>
    <w:tbl>
      <w:tblPr>
        <w:tblW w:type="dxa" w:w="9360"/>
        <w:tblBorders>
          <w:top w:val="single" w:color="BFBFBF" w:sz="4"/>
          <w:left w:val="none" w:color="FFFFFF" w:sz="0"/>
          <w:bottom w:val="single" w:color="BFBFBF" w:sz="4"/>
          <w:right w:val="none" w:color="FFFFFF" w:sz="0"/>
          <w:insideH w:val="single" w:color="BFBFBF" w:sz="2"/>
          <w:insideV w:val="none" w:color="FFFFFF" w:sz="0"/>
        </w:tblBorders>
      </w:tblPr>
      <w:tblGrid>
        <w:gridCol w:w="2300"/>
        <w:gridCol w:w="7060"/>
      </w:tblGrid>
      <w:tr>
        <w:trPr>
          <w:tblHeader/>
        </w:trPr>
        <w:tc>
          <w:tcPr>
            <w:tcW w:type="dxa" w:w="2300"/>
            <w:shd w:fill="1F3864" w:color="auto" w:val="clear"/>
            <w:tcMar>
              <w:top w:type="dxa" w:w="70"/>
              <w:left w:type="dxa" w:w="100"/>
              <w:bottom w:type="dxa" w:w="70"/>
              <w:right w:type="dxa" w:w="100"/>
            </w:tcMar>
          </w:tcPr>
          <w:p>
            <w:pPr>
              <w:spacing w:after="0" w:before="0" w:line="240"/>
            </w:pPr>
            <w:r>
              <w:rPr>
                <w:rFonts w:ascii="Calibri" w:cs="Calibri" w:eastAsia="Calibri" w:hAnsi="Calibri"/>
                <w:b/>
                <w:bCs/>
                <w:color w:val="FFFFFF"/>
                <w:sz w:val="18"/>
                <w:szCs w:val="18"/>
              </w:rPr>
              <w:t xml:space="preserve">Market</w:t>
            </w:r>
          </w:p>
        </w:tc>
        <w:tc>
          <w:tcPr>
            <w:tcW w:type="dxa" w:w="7060"/>
            <w:shd w:fill="1F3864" w:color="auto" w:val="clear"/>
            <w:tcMar>
              <w:top w:type="dxa" w:w="70"/>
              <w:left w:type="dxa" w:w="100"/>
              <w:bottom w:type="dxa" w:w="70"/>
              <w:right w:type="dxa" w:w="100"/>
            </w:tcMar>
          </w:tcPr>
          <w:p>
            <w:pPr>
              <w:spacing w:after="0" w:before="0" w:line="240"/>
            </w:pPr>
            <w:r>
              <w:rPr>
                <w:rFonts w:ascii="Calibri" w:cs="Calibri" w:eastAsia="Calibri" w:hAnsi="Calibri"/>
                <w:b/>
                <w:bCs/>
                <w:color w:val="FFFFFF"/>
                <w:sz w:val="18"/>
                <w:szCs w:val="18"/>
              </w:rPr>
              <w:t xml:space="preserve">Why it fails Bucket 1</w:t>
            </w:r>
          </w:p>
        </w:tc>
      </w:tr>
      <w:tr>
        <w:tc>
          <w:tcPr>
            <w:tcW w:type="dxa" w:w="230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United States, United Kingdom</w:t>
            </w:r>
          </w:p>
        </w:tc>
        <w:tc>
          <w:tcPr>
            <w:tcW w:type="dxa" w:w="706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Fail the law test outright — EPRC 1.31 and 1.90, the two most flexible large markets in the set. Both are real opportunities on other grounds (the US is xLoop’s registered HQ and the largest search market for AI consulting terms), but they do not belong in this bucket. They most likely belong in Bucket 2.</w:t>
            </w:r>
          </w:p>
        </w:tc>
      </w:tr>
      <w:tr>
        <w:tc>
          <w:tcPr>
            <w:tcW w:type="dxa" w:w="2300"/>
            <w:shd w:fill="F2F4F8" w:color="auto" w:val="clear"/>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Poland, Czechia, Romania, Portugal</w:t>
            </w:r>
          </w:p>
        </w:tc>
        <w:tc>
          <w:tcPr>
            <w:tcW w:type="dxa" w:w="706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Competitors, not customers — these are Europe’s nearshore supply markets. Czechia scores highest in the OECD on dismissal rigidity (3.03) and will keep surfacing in any mechanical ranking; it should be filtered out on servability, not on data.</w:t>
            </w:r>
          </w:p>
        </w:tc>
      </w:tr>
      <w:tr>
        <w:tc>
          <w:tcPr>
            <w:tcW w:type="dxa" w:w="230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Spain</w:t>
            </w:r>
          </w:p>
        </w:tc>
        <w:tc>
          <w:tcPr>
            <w:tcW w:type="dxa" w:w="706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27,633 mid-and-large enterprises, but the lowest ICT hard-to-fill rate in the EU at 30.1%. Plenty of buyers, no shortage to sell against.</w:t>
            </w:r>
          </w:p>
        </w:tc>
      </w:tr>
      <w:tr>
        <w:tc>
          <w:tcPr>
            <w:tcW w:type="dxa" w:w="2300"/>
            <w:shd w:fill="F2F4F8" w:color="auto" w:val="clear"/>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India</w:t>
            </w:r>
          </w:p>
        </w:tc>
        <w:tc>
          <w:tcPr>
            <w:tcW w:type="dxa" w:w="706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A supply market. It appears in shortage data because it is hiring at enormous scale, not because it lacks engineers.</w:t>
            </w:r>
          </w:p>
        </w:tc>
      </w:tr>
    </w:tbl>
    <w:p>
      <w:pPr>
        <w:spacing w:before="240"/>
      </w:pPr>
      <w:r>
        <w:br w:type="page"/>
      </w:r>
    </w:p>
    <w:p>
      <w:pPr>
        <w:pStyle w:val="Heading1"/>
        <w:spacing w:after="160" w:before="360"/>
      </w:pPr>
      <w:r>
        <w:rPr>
          <w:rFonts w:ascii="Calibri" w:cs="Calibri" w:eastAsia="Calibri" w:hAnsi="Calibri"/>
          <w:b/>
          <w:bCs/>
          <w:color w:val="1F3864"/>
          <w:sz w:val="30"/>
          <w:szCs w:val="30"/>
        </w:rPr>
        <w:t xml:space="preserve">6.  The legal layer — what it changes about how we sell</w:t>
      </w:r>
    </w:p>
    <w:p>
      <w:pPr>
        <w:spacing w:after="120" w:before="0" w:line="276"/>
      </w:pPr>
      <w:r>
        <w:rPr>
          <w:rFonts w:ascii="Calibri" w:cs="Calibri" w:eastAsia="Calibri" w:hAnsi="Calibri"/>
          <w:b/>
          <w:bCs/>
          <w:color w:val="000000"/>
          <w:sz w:val="20"/>
          <w:szCs w:val="20"/>
        </w:rPr>
        <w:t xml:space="preserve">This is the section I would most want him to read. </w:t>
      </w:r>
      <w:r>
        <w:rPr>
          <w:rFonts w:ascii="Calibri" w:cs="Calibri" w:eastAsia="Calibri" w:hAnsi="Calibri"/>
          <w:color w:val="000000"/>
          <w:sz w:val="20"/>
          <w:szCs w:val="20"/>
        </w:rPr>
        <w:t xml:space="preserve">The employment-law rigidity that creates the demand also constrains the shape of the contract. In every Tier 1 market, the same statutes that make firing expensive also penalise arrangements in which a client directs supplied workers. Selling “engineers you can direct” walks a German, Dutch, Belgian or French buyer straight into that exposure — and their procurement and legal teams know it.</w:t>
      </w:r>
    </w:p>
    <w:p>
      <w:pPr>
        <w:spacing w:after="120" w:before="0" w:line="276"/>
      </w:pPr>
      <w:r>
        <w:rPr>
          <w:rFonts w:ascii="Calibri" w:cs="Calibri" w:eastAsia="Calibri" w:hAnsi="Calibri"/>
          <w:b/>
          <w:bCs/>
          <w:color w:val="000000"/>
          <w:sz w:val="20"/>
          <w:szCs w:val="20"/>
        </w:rPr>
        <w:t xml:space="preserve">The consequence is commercially favourable, not adverse. </w:t>
      </w:r>
      <w:r>
        <w:rPr>
          <w:rFonts w:ascii="Calibri" w:cs="Calibri" w:eastAsia="Calibri" w:hAnsi="Calibri"/>
          <w:color w:val="000000"/>
          <w:sz w:val="20"/>
          <w:szCs w:val="20"/>
        </w:rPr>
        <w:t xml:space="preserve">A fixed-scope, deliverable-based managed service, with xLoop retaining direction and control of its own people, sits outside all of these regimes. It is not merely the compliant option — it is the reason a buyer will pay a premium over a local contractor they are no longer permitted to engage.</w:t>
      </w:r>
    </w:p>
    <w:tbl>
      <w:tblPr>
        <w:tblW w:type="dxa" w:w="9360"/>
        <w:tblBorders>
          <w:top w:val="single" w:color="BFBFBF" w:sz="4"/>
          <w:left w:val="none" w:color="FFFFFF" w:sz="0"/>
          <w:bottom w:val="single" w:color="BFBFBF" w:sz="4"/>
          <w:right w:val="none" w:color="FFFFFF" w:sz="0"/>
          <w:insideH w:val="single" w:color="BFBFBF" w:sz="2"/>
          <w:insideV w:val="none" w:color="FFFFFF" w:sz="0"/>
        </w:tblBorders>
      </w:tblPr>
      <w:tblGrid>
        <w:gridCol w:w="1750"/>
        <w:gridCol w:w="3400"/>
        <w:gridCol w:w="4210"/>
      </w:tblGrid>
      <w:tr>
        <w:trPr>
          <w:tblHeader/>
        </w:trPr>
        <w:tc>
          <w:tcPr>
            <w:tcW w:type="dxa" w:w="1750"/>
            <w:shd w:fill="1F3864" w:color="auto" w:val="clear"/>
            <w:tcMar>
              <w:top w:type="dxa" w:w="70"/>
              <w:left w:type="dxa" w:w="100"/>
              <w:bottom w:type="dxa" w:w="70"/>
              <w:right w:type="dxa" w:w="100"/>
            </w:tcMar>
          </w:tcPr>
          <w:p>
            <w:pPr>
              <w:spacing w:after="0" w:before="0" w:line="240"/>
            </w:pPr>
            <w:r>
              <w:rPr>
                <w:rFonts w:ascii="Calibri" w:cs="Calibri" w:eastAsia="Calibri" w:hAnsi="Calibri"/>
                <w:b/>
                <w:bCs/>
                <w:color w:val="FFFFFF"/>
                <w:sz w:val="18"/>
                <w:szCs w:val="18"/>
              </w:rPr>
              <w:t xml:space="preserve">Market</w:t>
            </w:r>
          </w:p>
        </w:tc>
        <w:tc>
          <w:tcPr>
            <w:tcW w:type="dxa" w:w="3400"/>
            <w:shd w:fill="1F3864" w:color="auto" w:val="clear"/>
            <w:tcMar>
              <w:top w:type="dxa" w:w="70"/>
              <w:left w:type="dxa" w:w="100"/>
              <w:bottom w:type="dxa" w:w="70"/>
              <w:right w:type="dxa" w:w="100"/>
            </w:tcMar>
          </w:tcPr>
          <w:p>
            <w:pPr>
              <w:spacing w:after="0" w:before="0" w:line="240"/>
            </w:pPr>
            <w:r>
              <w:rPr>
                <w:rFonts w:ascii="Calibri" w:cs="Calibri" w:eastAsia="Calibri" w:hAnsi="Calibri"/>
                <w:b/>
                <w:bCs/>
                <w:color w:val="FFFFFF"/>
                <w:sz w:val="18"/>
                <w:szCs w:val="18"/>
              </w:rPr>
              <w:t xml:space="preserve">The constraint</w:t>
            </w:r>
          </w:p>
        </w:tc>
        <w:tc>
          <w:tcPr>
            <w:tcW w:type="dxa" w:w="4210"/>
            <w:shd w:fill="1F3864" w:color="auto" w:val="clear"/>
            <w:tcMar>
              <w:top w:type="dxa" w:w="70"/>
              <w:left w:type="dxa" w:w="100"/>
              <w:bottom w:type="dxa" w:w="70"/>
              <w:right w:type="dxa" w:w="100"/>
            </w:tcMar>
          </w:tcPr>
          <w:p>
            <w:pPr>
              <w:spacing w:after="0" w:before="0" w:line="240"/>
            </w:pPr>
            <w:r>
              <w:rPr>
                <w:rFonts w:ascii="Calibri" w:cs="Calibri" w:eastAsia="Calibri" w:hAnsi="Calibri"/>
                <w:b/>
                <w:bCs/>
                <w:color w:val="FFFFFF"/>
                <w:sz w:val="18"/>
                <w:szCs w:val="18"/>
              </w:rPr>
              <w:t xml:space="preserve">What it means for the pitch</w:t>
            </w:r>
          </w:p>
        </w:tc>
      </w:tr>
      <w:tr>
        <w:tc>
          <w:tcPr>
            <w:tcW w:type="dxa" w:w="175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Germany</w:t>
            </w:r>
          </w:p>
        </w:tc>
        <w:tc>
          <w:tcPr>
            <w:tcW w:type="dxa" w:w="340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Arbeitnehmerüberlassungsgesetz (AÜG): the same worker may not be assigned to the same client beyond 18 consecutive months. Disguised leasing and Scheinselbständigkeit are actively audited by Deutsche Rentenversicherung — a contract that says one thing while the work looks like leasing is treated as leasing. Leased workers count toward works council thresholds.</w:t>
            </w:r>
          </w:p>
        </w:tc>
        <w:tc>
          <w:tcPr>
            <w:tcW w:type="dxa" w:w="421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Never offer named individuals on an open-ended assignment. Offer a scoped work package with an xLoop-side lead, acceptance criteria and a defined term. The 18-month cap is itself a reason to buy a managed service, and raising it in a first meeting positions us as the informed party.</w:t>
            </w:r>
          </w:p>
        </w:tc>
      </w:tr>
      <w:tr>
        <w:tc>
          <w:tcPr>
            <w:tcW w:type="dxa" w:w="1750"/>
            <w:shd w:fill="F2F4F8" w:color="auto" w:val="clear"/>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Netherlands</w:t>
            </w:r>
          </w:p>
        </w:tc>
        <w:tc>
          <w:tcPr>
            <w:tcW w:type="dxa" w:w="340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Wet DBA. The enforcement moratorium ended on 1 January 2025; serious-fault penalties are available again from 1 January 2026. Clients face retroactive wage tax and social security exposure for misclassified ZZP freelancers.</w:t>
            </w:r>
          </w:p>
        </w:tc>
        <w:tc>
          <w:tcPr>
            <w:tcW w:type="dxa" w:w="421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The freelancer substitute has just become expensive. Lead with the fact that a supplier-directed service contract carries none of that classification risk. This is a live, dated, checkable change — it makes a credible cold-outreach hook.</w:t>
            </w:r>
          </w:p>
        </w:tc>
      </w:tr>
      <w:tr>
        <w:tc>
          <w:tcPr>
            <w:tcW w:type="dxa" w:w="175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Belgium</w:t>
            </w:r>
          </w:p>
        </w:tc>
        <w:tc>
          <w:tcPr>
            <w:tcW w:type="dxa" w:w="340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Article 31, Act of 24 July 1987: making employees available to a third party that exercises employer authority over them is prohibited. Client instructions must be confined to the agreed work and set out expressly in writing.</w:t>
            </w:r>
          </w:p>
        </w:tc>
        <w:tc>
          <w:tcPr>
            <w:tcW w:type="dxa" w:w="421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Put the instruction boundary in the contract explicitly. Doing so is both a compliance requirement and a differentiator — most offshore suppliers do not know the rule exists.</w:t>
            </w:r>
          </w:p>
        </w:tc>
      </w:tr>
      <w:tr>
        <w:tc>
          <w:tcPr>
            <w:tcW w:type="dxa" w:w="1750"/>
            <w:shd w:fill="F2F4F8" w:color="auto" w:val="clear"/>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France</w:t>
            </w:r>
          </w:p>
        </w:tc>
        <w:tc>
          <w:tcPr>
            <w:tcW w:type="dxa" w:w="340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Prêt de main-d’œuvre illicite and délit de marchandage. IT services are expressly within scope. A recognised indicator of illegality is the absence of an obligation de résultat — no deliverables, no objectives. Penalties reach €150,000 for companies.</w:t>
            </w:r>
          </w:p>
        </w:tc>
        <w:tc>
          <w:tcPr>
            <w:tcW w:type="dxa" w:w="421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Every French proposal must carry named deliverables and acceptance criteria. A pure time-and-materials body-shop contract is not a weak offer in France — it is an unlawful one.</w:t>
            </w:r>
          </w:p>
        </w:tc>
      </w:tr>
      <w:tr>
        <w:tc>
          <w:tcPr>
            <w:tcW w:type="dxa" w:w="175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United Kingdom</w:t>
            </w:r>
          </w:p>
        </w:tc>
        <w:tc>
          <w:tcPr>
            <w:tcW w:type="dxa" w:w="340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Off-payroll working (IR35). From 6 April 2026 the small-company thresholds rose to £15m turnover, moving roughly 14,000 companies out of scope, and agencies and end clients can become liable for PAYE underpayments arising through umbrella companies.</w:t>
            </w:r>
          </w:p>
        </w:tc>
        <w:tc>
          <w:tcPr>
            <w:tcW w:type="dxa" w:w="421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Weakening as a driver, and the UK fails the Bucket 1 law test regardless. Noted so that we do not over-claim IR35 as a reason to target the UK.</w:t>
            </w:r>
          </w:p>
        </w:tc>
      </w:tr>
    </w:tbl>
    <w:p>
      <w:pPr>
        <w:spacing w:after="220" w:before="80"/>
      </w:pPr>
      <w:r>
        <w:rPr>
          <w:rFonts w:ascii="Calibri" w:cs="Calibri" w:eastAsia="Calibri" w:hAnsi="Calibri"/>
          <w:i/>
          <w:iCs/>
          <w:color w:val="595959"/>
          <w:sz w:val="16"/>
          <w:szCs w:val="16"/>
        </w:rPr>
        <w:t xml:space="preserve">Table 5. Statute-level constraints in the shortlisted markets. This is orientation for sales conversations, not legal advice — contract terms for any of these markets should be reviewed by counsel in that jurisdiction.</w:t>
      </w:r>
    </w:p>
    <w:p>
      <w:pPr>
        <w:pStyle w:val="Heading3"/>
        <w:spacing w:after="90" w:before="200"/>
      </w:pPr>
      <w:r>
        <w:rPr>
          <w:rFonts w:ascii="Calibri" w:cs="Calibri" w:eastAsia="Calibri" w:hAnsi="Calibri"/>
          <w:b/>
          <w:bCs/>
          <w:color w:val="C00000"/>
          <w:sz w:val="21"/>
          <w:szCs w:val="21"/>
        </w:rPr>
        <w:t xml:space="preserve">The three language changes this implies</w:t>
      </w:r>
    </w:p>
    <w:p>
      <w:pPr>
        <w:pStyle w:val="ListParagraph"/>
        <w:numPr>
          <w:ilvl w:val="0"/>
          <w:numId w:val="3"/>
        </w:numPr>
        <w:spacing w:after="80" w:line="276"/>
      </w:pPr>
      <w:r>
        <w:rPr>
          <w:rFonts w:ascii="Calibri" w:cs="Calibri" w:eastAsia="Calibri" w:hAnsi="Calibri"/>
          <w:b/>
          <w:bCs/>
          <w:color w:val="000000"/>
          <w:sz w:val="20"/>
          <w:szCs w:val="20"/>
        </w:rPr>
        <w:t xml:space="preserve">Retire “staff augmentation”. </w:t>
      </w:r>
      <w:r>
        <w:rPr>
          <w:rFonts w:ascii="Calibri" w:cs="Calibri" w:eastAsia="Calibri" w:hAnsi="Calibri"/>
          <w:color w:val="000000"/>
          <w:sz w:val="20"/>
          <w:szCs w:val="20"/>
        </w:rPr>
        <w:t xml:space="preserve">xLoop’s own ICP research already says the phrase is wrong. In these four markets it is worse than wrong — it names the very thing the buyer’s lawyer is trying to avoid. Use </w:t>
      </w:r>
      <w:r>
        <w:rPr>
          <w:rFonts w:ascii="Calibri" w:cs="Calibri" w:eastAsia="Calibri" w:hAnsi="Calibri"/>
          <w:b/>
          <w:bCs/>
          <w:color w:val="000000"/>
          <w:sz w:val="20"/>
          <w:szCs w:val="20"/>
        </w:rPr>
        <w:t xml:space="preserve">“specialist engineering capacity”</w:t>
      </w:r>
      <w:r>
        <w:rPr>
          <w:rFonts w:ascii="Calibri" w:cs="Calibri" w:eastAsia="Calibri" w:hAnsi="Calibri"/>
          <w:color w:val="000000"/>
          <w:sz w:val="20"/>
          <w:szCs w:val="20"/>
        </w:rPr>
        <w:t xml:space="preserve"> or </w:t>
      </w:r>
      <w:r>
        <w:rPr>
          <w:rFonts w:ascii="Calibri" w:cs="Calibri" w:eastAsia="Calibri" w:hAnsi="Calibri"/>
          <w:b/>
          <w:bCs/>
          <w:color w:val="000000"/>
          <w:sz w:val="20"/>
          <w:szCs w:val="20"/>
        </w:rPr>
        <w:t xml:space="preserve">“managed delivery pod”.</w:t>
      </w:r>
    </w:p>
    <w:p>
      <w:pPr>
        <w:pStyle w:val="ListParagraph"/>
        <w:numPr>
          <w:ilvl w:val="0"/>
          <w:numId w:val="3"/>
        </w:numPr>
        <w:spacing w:after="80" w:line="276"/>
      </w:pPr>
      <w:r>
        <w:rPr>
          <w:rFonts w:ascii="Calibri" w:cs="Calibri" w:eastAsia="Calibri" w:hAnsi="Calibri"/>
          <w:b/>
          <w:bCs/>
          <w:color w:val="000000"/>
          <w:sz w:val="20"/>
          <w:szCs w:val="20"/>
        </w:rPr>
        <w:t xml:space="preserve">Lead with scope, not seats. </w:t>
      </w:r>
      <w:r>
        <w:rPr>
          <w:rFonts w:ascii="Calibri" w:cs="Calibri" w:eastAsia="Calibri" w:hAnsi="Calibri"/>
          <w:color w:val="000000"/>
          <w:sz w:val="20"/>
          <w:szCs w:val="20"/>
        </w:rPr>
        <w:t xml:space="preserve">“We take the outcome” beats “We give you three engineers” on both price and legality.</w:t>
      </w:r>
    </w:p>
    <w:p>
      <w:pPr>
        <w:pStyle w:val="ListParagraph"/>
        <w:numPr>
          <w:ilvl w:val="0"/>
          <w:numId w:val="3"/>
        </w:numPr>
        <w:spacing w:after="80" w:line="276"/>
      </w:pPr>
      <w:r>
        <w:rPr>
          <w:rFonts w:ascii="Calibri" w:cs="Calibri" w:eastAsia="Calibri" w:hAnsi="Calibri"/>
          <w:b/>
          <w:bCs/>
          <w:color w:val="000000"/>
          <w:sz w:val="20"/>
          <w:szCs w:val="20"/>
        </w:rPr>
        <w:t xml:space="preserve">Name the xLoop-side lead in every proposal. </w:t>
      </w:r>
      <w:r>
        <w:rPr>
          <w:rFonts w:ascii="Calibri" w:cs="Calibri" w:eastAsia="Calibri" w:hAnsi="Calibri"/>
          <w:color w:val="000000"/>
          <w:sz w:val="20"/>
          <w:szCs w:val="20"/>
        </w:rPr>
        <w:t xml:space="preserve">Supplier-side supervision is the single factor that most clearly separates a service contract from labour leasing across all four regimes.</w:t>
      </w:r>
    </w:p>
    <w:p>
      <w:pPr>
        <w:spacing w:before="240"/>
      </w:pPr>
      <w:r>
        <w:br w:type="page"/>
      </w:r>
    </w:p>
    <w:p>
      <w:pPr>
        <w:pStyle w:val="Heading1"/>
        <w:spacing w:after="160" w:before="360"/>
      </w:pPr>
      <w:r>
        <w:rPr>
          <w:rFonts w:ascii="Calibri" w:cs="Calibri" w:eastAsia="Calibri" w:hAnsi="Calibri"/>
          <w:b/>
          <w:bCs/>
          <w:color w:val="1F3864"/>
          <w:sz w:val="30"/>
          <w:szCs w:val="30"/>
        </w:rPr>
        <w:t xml:space="preserve">7.  The GCC exception — quota law in place of dismissal law</w:t>
      </w:r>
    </w:p>
    <w:p>
      <w:pPr>
        <w:spacing w:after="120" w:before="0" w:line="276"/>
      </w:pPr>
      <w:r>
        <w:rPr>
          <w:rFonts w:ascii="Calibri" w:cs="Calibri" w:eastAsia="Calibri" w:hAnsi="Calibri"/>
          <w:color w:val="000000"/>
          <w:sz w:val="20"/>
          <w:szCs w:val="20"/>
        </w:rPr>
        <w:t xml:space="preserve">The Gulf states fail the literal Bucket 1 test: dismissal is comparatively easy and the OECD does not index them. They belong in the bucket anyway, because a different body of law produces the identical commercial effect — a legal ceiling on who a company may hire.</w:t>
      </w:r>
    </w:p>
    <w:tbl>
      <w:tblPr>
        <w:tblW w:type="dxa" w:w="9360"/>
        <w:tblBorders>
          <w:top w:val="single" w:color="BFBFBF" w:sz="4"/>
          <w:left w:val="none" w:color="FFFFFF" w:sz="0"/>
          <w:bottom w:val="single" w:color="BFBFBF" w:sz="4"/>
          <w:right w:val="none" w:color="FFFFFF" w:sz="0"/>
          <w:insideH w:val="single" w:color="BFBFBF" w:sz="2"/>
          <w:insideV w:val="none" w:color="FFFFFF" w:sz="0"/>
        </w:tblBorders>
      </w:tblPr>
      <w:tblGrid>
        <w:gridCol w:w="1750"/>
        <w:gridCol w:w="3700"/>
        <w:gridCol w:w="3910"/>
      </w:tblGrid>
      <w:tr>
        <w:trPr>
          <w:tblHeader/>
        </w:trPr>
        <w:tc>
          <w:tcPr>
            <w:tcW w:type="dxa" w:w="1750"/>
            <w:shd w:fill="1F3864" w:color="auto" w:val="clear"/>
            <w:tcMar>
              <w:top w:type="dxa" w:w="70"/>
              <w:left w:type="dxa" w:w="100"/>
              <w:bottom w:type="dxa" w:w="70"/>
              <w:right w:type="dxa" w:w="100"/>
            </w:tcMar>
          </w:tcPr>
          <w:p>
            <w:pPr>
              <w:spacing w:after="0" w:before="0" w:line="240"/>
            </w:pPr>
            <w:r>
              <w:rPr>
                <w:rFonts w:ascii="Calibri" w:cs="Calibri" w:eastAsia="Calibri" w:hAnsi="Calibri"/>
                <w:b/>
                <w:bCs/>
                <w:color w:val="FFFFFF"/>
                <w:sz w:val="18"/>
                <w:szCs w:val="18"/>
              </w:rPr>
              <w:t xml:space="preserve">Market</w:t>
            </w:r>
          </w:p>
        </w:tc>
        <w:tc>
          <w:tcPr>
            <w:tcW w:type="dxa" w:w="3700"/>
            <w:shd w:fill="1F3864" w:color="auto" w:val="clear"/>
            <w:tcMar>
              <w:top w:type="dxa" w:w="70"/>
              <w:left w:type="dxa" w:w="100"/>
              <w:bottom w:type="dxa" w:w="70"/>
              <w:right w:type="dxa" w:w="100"/>
            </w:tcMar>
          </w:tcPr>
          <w:p>
            <w:pPr>
              <w:spacing w:after="0" w:before="0" w:line="240"/>
            </w:pPr>
            <w:r>
              <w:rPr>
                <w:rFonts w:ascii="Calibri" w:cs="Calibri" w:eastAsia="Calibri" w:hAnsi="Calibri"/>
                <w:b/>
                <w:bCs/>
                <w:color w:val="FFFFFF"/>
                <w:sz w:val="18"/>
                <w:szCs w:val="18"/>
              </w:rPr>
              <w:t xml:space="preserve">The legal constraint</w:t>
            </w:r>
          </w:p>
        </w:tc>
        <w:tc>
          <w:tcPr>
            <w:tcW w:type="dxa" w:w="3910"/>
            <w:shd w:fill="1F3864" w:color="auto" w:val="clear"/>
            <w:tcMar>
              <w:top w:type="dxa" w:w="70"/>
              <w:left w:type="dxa" w:w="100"/>
              <w:bottom w:type="dxa" w:w="70"/>
              <w:right w:type="dxa" w:w="100"/>
            </w:tcMar>
          </w:tcPr>
          <w:p>
            <w:pPr>
              <w:spacing w:after="0" w:before="0" w:line="240"/>
            </w:pPr>
            <w:r>
              <w:rPr>
                <w:rFonts w:ascii="Calibri" w:cs="Calibri" w:eastAsia="Calibri" w:hAnsi="Calibri"/>
                <w:b/>
                <w:bCs/>
                <w:color w:val="FFFFFF"/>
                <w:sz w:val="18"/>
                <w:szCs w:val="18"/>
              </w:rPr>
              <w:t xml:space="preserve">Why it creates offshore demand</w:t>
            </w:r>
          </w:p>
        </w:tc>
      </w:tr>
      <w:tr>
        <w:tc>
          <w:tcPr>
            <w:tcW w:type="dxa" w:w="175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UAE</w:t>
            </w:r>
          </w:p>
        </w:tc>
        <w:tc>
          <w:tcPr>
            <w:tcW w:type="dxa" w:w="370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Emiratisation. Mainland private companies with 50 or more skilled employees must reach 10% Emirati representation in skilled roles by 31 December 2026, rising two percentage points a year. Non-compliance costs AED 9,000 per month per unfilled Emirati slot from 1 January 2026 — roughly AED 108,000 a year per role.</w:t>
            </w:r>
          </w:p>
        </w:tc>
        <w:tc>
          <w:tcPr>
            <w:tcW w:type="dxa" w:w="391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Every additional skilled hire raises the Emirati quota obligation. Contracted offshore delivery does not. That is a direct, quantifiable financial argument for buying capacity instead of headcount — and it is arithmetic a CFO can check in a meeting.</w:t>
            </w:r>
          </w:p>
        </w:tc>
      </w:tr>
      <w:tr>
        <w:tc>
          <w:tcPr>
            <w:tcW w:type="dxa" w:w="1750"/>
            <w:shd w:fill="F2F4F8" w:color="auto" w:val="clear"/>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Saudi Arabia</w:t>
            </w:r>
          </w:p>
        </w:tc>
        <w:tc>
          <w:tcPr>
            <w:tcW w:type="dxa" w:w="370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Saudization (Nitaqat). Technology-sector thresholds currently sit at roughly 25–35% of headcount depending on company size; a new three-year cycle began between November 2025 and April 2026. From 15 April 2026 a Saudi employee counts only where the contract is authenticated on Qiwa. Firms in the yellow or red band face visa restrictions.</w:t>
            </w:r>
          </w:p>
        </w:tc>
        <w:tc>
          <w:tcPr>
            <w:tcW w:type="dxa" w:w="3910"/>
            <w:shd w:fill="F2F4F8" w:color="auto" w:val="clear"/>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The visa consequence is the sharper point: a company out of band cannot bring in expatriate technology staff at all. Offshore delivery then becomes the only available route to capacity. xLoop already has delivery evidence in Saudi Arabia (xServe with a leading fast-food chain), and Vision 2030 spend is live.</w:t>
            </w:r>
          </w:p>
        </w:tc>
      </w:tr>
      <w:tr>
        <w:tc>
          <w:tcPr>
            <w:tcW w:type="dxa" w:w="1750"/>
            <w:tcMar>
              <w:top w:type="dxa" w:w="70"/>
              <w:left w:type="dxa" w:w="100"/>
              <w:bottom w:type="dxa" w:w="70"/>
              <w:right w:type="dxa" w:w="100"/>
            </w:tcMar>
          </w:tcPr>
          <w:p>
            <w:pPr>
              <w:spacing w:after="0" w:before="0" w:line="240"/>
            </w:pPr>
            <w:r>
              <w:rPr>
                <w:rFonts w:ascii="Calibri" w:cs="Calibri" w:eastAsia="Calibri" w:hAnsi="Calibri"/>
                <w:b/>
                <w:bCs/>
                <w:color w:val="000000"/>
                <w:sz w:val="18"/>
                <w:szCs w:val="18"/>
              </w:rPr>
              <w:t xml:space="preserve">Qatar</w:t>
            </w:r>
          </w:p>
        </w:tc>
        <w:tc>
          <w:tcPr>
            <w:tcW w:type="dxa" w:w="370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No comparable quota regime for technology roles, but xLoop holds a regional HQ in Doha with active investment.</w:t>
            </w:r>
          </w:p>
        </w:tc>
        <w:tc>
          <w:tcPr>
            <w:tcW w:type="dxa" w:w="3910"/>
            <w:tcMar>
              <w:top w:type="dxa" w:w="70"/>
              <w:left w:type="dxa" w:w="100"/>
              <w:bottom w:type="dxa" w:w="70"/>
              <w:right w:type="dxa" w:w="100"/>
            </w:tcMar>
          </w:tcPr>
          <w:p>
            <w:pPr>
              <w:spacing w:after="0" w:before="0" w:line="240"/>
            </w:pPr>
            <w:r>
              <w:rPr>
                <w:rFonts w:ascii="Calibri" w:cs="Calibri" w:eastAsia="Calibri" w:hAnsi="Calibri"/>
                <w:b w:val="false"/>
                <w:bCs w:val="false"/>
                <w:color w:val="000000"/>
                <w:sz w:val="18"/>
                <w:szCs w:val="18"/>
              </w:rPr>
              <w:t xml:space="preserve">Include for coverage and relationship reasons, not because the Bucket 1 mechanism applies.</w:t>
            </w:r>
          </w:p>
        </w:tc>
      </w:tr>
    </w:tbl>
    <w:p>
      <w:pPr>
        <w:spacing w:after="120" w:before="0" w:line="276"/>
      </w:pPr>
      <w:r>
        <w:rPr>
          <w:rFonts w:ascii="Calibri" w:cs="Calibri" w:eastAsia="Calibri" w:hAnsi="Calibri"/>
          <w:b/>
          <w:bCs/>
          <w:color w:val="000000"/>
          <w:sz w:val="20"/>
          <w:szCs w:val="20"/>
        </w:rPr>
        <w:t xml:space="preserve">Why this tier should probably be tested first, </w:t>
      </w:r>
      <w:r>
        <w:rPr>
          <w:rFonts w:ascii="Calibri" w:cs="Calibri" w:eastAsia="Calibri" w:hAnsi="Calibri"/>
          <w:color w:val="000000"/>
          <w:sz w:val="20"/>
          <w:szCs w:val="20"/>
        </w:rPr>
        <w:t xml:space="preserve">despite ranking below the Netherlands and Germany on the data: xLoop has regional headquarters in Dubai and Doha, delivery evidence in Saudi Arabia, established buyer access and no language barrier. It is the only Tier 1 or Tier 2 market where the thesis can be tested in weeks rather than quarters — and a fast result there tells us whether the mechanism converts before we spend nine months on Germany.</w:t>
      </w:r>
    </w:p>
    <w:p>
      <w:pPr>
        <w:pStyle w:val="Heading1"/>
        <w:spacing w:after="160" w:before="360"/>
      </w:pPr>
      <w:r>
        <w:rPr>
          <w:rFonts w:ascii="Calibri" w:cs="Calibri" w:eastAsia="Calibri" w:hAnsi="Calibri"/>
          <w:b/>
          <w:bCs/>
          <w:color w:val="1F3864"/>
          <w:sz w:val="30"/>
          <w:szCs w:val="30"/>
        </w:rPr>
        <w:t xml:space="preserve">8.  What would break this</w:t>
      </w:r>
    </w:p>
    <w:p>
      <w:pPr>
        <w:pStyle w:val="ListParagraph"/>
        <w:numPr>
          <w:ilvl w:val="0"/>
          <w:numId w:val="2"/>
        </w:numPr>
        <w:spacing w:after="80" w:line="276"/>
      </w:pPr>
      <w:r>
        <w:rPr>
          <w:rFonts w:ascii="Calibri" w:cs="Calibri" w:eastAsia="Calibri" w:hAnsi="Calibri"/>
          <w:b/>
          <w:bCs/>
          <w:color w:val="000000"/>
          <w:sz w:val="20"/>
          <w:szCs w:val="20"/>
        </w:rPr>
        <w:t xml:space="preserve">No named European reference. </w:t>
      </w:r>
      <w:r>
        <w:rPr>
          <w:rFonts w:ascii="Calibri" w:cs="Calibri" w:eastAsia="Calibri" w:hAnsi="Calibri"/>
          <w:color w:val="000000"/>
          <w:sz w:val="20"/>
          <w:szCs w:val="20"/>
        </w:rPr>
        <w:t xml:space="preserve">The Marketing Brain records that no xLoop offering has a grade-A proof point — a named client with a measured outcome approved for public use. German and Dutch enterprise buyers ask for one in the first meeting. This, not market selection, is the most likely reason Tier 1 stalls. Securing a single named, publishable European or Gulf reference would move the pipeline more than any change to this target list.</w:t>
      </w:r>
    </w:p>
    <w:p>
      <w:pPr>
        <w:pStyle w:val="ListParagraph"/>
        <w:numPr>
          <w:ilvl w:val="0"/>
          <w:numId w:val="2"/>
        </w:numPr>
        <w:spacing w:after="80" w:line="276"/>
      </w:pPr>
      <w:r>
        <w:rPr>
          <w:rFonts w:ascii="Calibri" w:cs="Calibri" w:eastAsia="Calibri" w:hAnsi="Calibri"/>
          <w:b/>
          <w:bCs/>
          <w:color w:val="000000"/>
          <w:sz w:val="20"/>
          <w:szCs w:val="20"/>
        </w:rPr>
        <w:t xml:space="preserve">Data transfer to Pakistan. </w:t>
      </w:r>
      <w:r>
        <w:rPr>
          <w:rFonts w:ascii="Calibri" w:cs="Calibri" w:eastAsia="Calibri" w:hAnsi="Calibri"/>
          <w:color w:val="000000"/>
          <w:sz w:val="20"/>
          <w:szCs w:val="20"/>
        </w:rPr>
        <w:t xml:space="preserve">Pakistan has no EU adequacy decision and its Personal Data Protection Bill remains in draft. Any European engagement touching personal data needs Standard Contractual Clauses plus a transfer impact assessment. Note that this concerns where data goes, not who signs — contracting through the Dubai or Doha entity does not solve it, because the UAE and Qatar are not adequate either. The workable answers are EU-region hosting with no personal data leaving the region, or pseudonymisation at source. Decide this before the first German proposal, not during it.</w:t>
      </w:r>
    </w:p>
    <w:p>
      <w:pPr>
        <w:pStyle w:val="ListParagraph"/>
        <w:numPr>
          <w:ilvl w:val="0"/>
          <w:numId w:val="2"/>
        </w:numPr>
        <w:spacing w:after="80" w:line="276"/>
      </w:pPr>
      <w:r>
        <w:rPr>
          <w:rFonts w:ascii="Calibri" w:cs="Calibri" w:eastAsia="Calibri" w:hAnsi="Calibri"/>
          <w:b/>
          <w:bCs/>
          <w:color w:val="000000"/>
          <w:sz w:val="20"/>
          <w:szCs w:val="20"/>
        </w:rPr>
        <w:t xml:space="preserve">The employment-protection data is a 2019 snapshot. </w:t>
      </w:r>
      <w:r>
        <w:rPr>
          <w:rFonts w:ascii="Calibri" w:cs="Calibri" w:eastAsia="Calibri" w:hAnsi="Calibri"/>
          <w:color w:val="000000"/>
          <w:sz w:val="20"/>
          <w:szCs w:val="20"/>
        </w:rPr>
        <w:t xml:space="preserve">It remains the latest published OECD edition, and the Tier 1 argument does not rest on it alone — the contracting-law constraints in section 6 are all current and were checked individually. But the index should not be quoted to a client as a 2026 figure.</w:t>
      </w:r>
    </w:p>
    <w:p>
      <w:pPr>
        <w:pStyle w:val="ListParagraph"/>
        <w:numPr>
          <w:ilvl w:val="0"/>
          <w:numId w:val="2"/>
        </w:numPr>
        <w:spacing w:after="80" w:line="276"/>
      </w:pPr>
      <w:r>
        <w:rPr>
          <w:rFonts w:ascii="Calibri" w:cs="Calibri" w:eastAsia="Calibri" w:hAnsi="Calibri"/>
          <w:b/>
          <w:bCs/>
          <w:color w:val="000000"/>
          <w:sz w:val="20"/>
          <w:szCs w:val="20"/>
        </w:rPr>
        <w:t xml:space="preserve">Language. </w:t>
      </w:r>
      <w:r>
        <w:rPr>
          <w:rFonts w:ascii="Calibri" w:cs="Calibri" w:eastAsia="Calibri" w:hAnsi="Calibri"/>
          <w:color w:val="000000"/>
          <w:sz w:val="20"/>
          <w:szCs w:val="20"/>
        </w:rPr>
        <w:t xml:space="preserve">The Netherlands, Sweden, Denmark and Belgium work in English. Germany largely does not, below the largest enterprises. If Germany is funded, German-language sales material and at least one German-speaking seller are prerequisites, not enhancements.</w:t>
      </w:r>
    </w:p>
    <w:p>
      <w:pPr>
        <w:pStyle w:val="ListParagraph"/>
        <w:numPr>
          <w:ilvl w:val="0"/>
          <w:numId w:val="2"/>
        </w:numPr>
        <w:spacing w:after="80" w:line="276"/>
      </w:pPr>
      <w:r>
        <w:rPr>
          <w:rFonts w:ascii="Calibri" w:cs="Calibri" w:eastAsia="Calibri" w:hAnsi="Calibri"/>
          <w:b/>
          <w:bCs/>
          <w:color w:val="000000"/>
          <w:sz w:val="20"/>
          <w:szCs w:val="20"/>
        </w:rPr>
        <w:t xml:space="preserve">Nothing here measures conversion. </w:t>
      </w:r>
      <w:r>
        <w:rPr>
          <w:rFonts w:ascii="Calibri" w:cs="Calibri" w:eastAsia="Calibri" w:hAnsi="Calibri"/>
          <w:color w:val="000000"/>
          <w:sz w:val="20"/>
          <w:szCs w:val="20"/>
        </w:rPr>
        <w:t xml:space="preserve">With no CRM and no win/loss record, this ranks opportunity, not proven yield. Treat the first quarter of outbound as the experiment that produces that evidence.</w:t>
      </w:r>
    </w:p>
    <w:p>
      <w:pPr>
        <w:pStyle w:val="Heading1"/>
        <w:spacing w:after="160" w:before="360"/>
      </w:pPr>
      <w:r>
        <w:rPr>
          <w:rFonts w:ascii="Calibri" w:cs="Calibri" w:eastAsia="Calibri" w:hAnsi="Calibri"/>
          <w:b/>
          <w:bCs/>
          <w:color w:val="1F3864"/>
          <w:sz w:val="30"/>
          <w:szCs w:val="30"/>
        </w:rPr>
        <w:t xml:space="preserve">9.  Next steps</w:t>
      </w:r>
    </w:p>
    <w:p>
      <w:pPr>
        <w:spacing w:after="120" w:before="0" w:line="276"/>
      </w:pPr>
      <w:r>
        <w:rPr>
          <w:rFonts w:ascii="Calibri" w:cs="Calibri" w:eastAsia="Calibri" w:hAnsi="Calibri"/>
          <w:b/>
          <w:bCs/>
          <w:color w:val="000000"/>
          <w:sz w:val="20"/>
          <w:szCs w:val="20"/>
        </w:rPr>
        <w:t xml:space="preserve">For decision in the meeting:</w:t>
      </w:r>
    </w:p>
    <w:p>
      <w:pPr>
        <w:spacing w:after="90" w:line="276"/>
        <w:ind w:left="260"/>
      </w:pPr>
      <w:r>
        <w:rPr>
          <w:rFonts w:ascii="Calibri" w:cs="Calibri" w:eastAsia="Calibri" w:hAnsi="Calibri"/>
          <w:sz w:val="20"/>
          <w:szCs w:val="20"/>
        </w:rPr>
        <w:t xml:space="preserve">☐ Agree or reject the substitution of “growing IT budget” for “thriving economy” (section 3). Everything downstream depends on it.</w:t>
      </w:r>
    </w:p>
    <w:p>
      <w:pPr>
        <w:spacing w:after="90" w:line="276"/>
        <w:ind w:left="260"/>
      </w:pPr>
      <w:r>
        <w:rPr>
          <w:rFonts w:ascii="Calibri" w:cs="Calibri" w:eastAsia="Calibri" w:hAnsi="Calibri"/>
          <w:sz w:val="20"/>
          <w:szCs w:val="20"/>
        </w:rPr>
        <w:t xml:space="preserve">☐ Confirm Bucket 2 — it was not in the message received, and the US and UK almost certainly belong there rather than nowhere.</w:t>
      </w:r>
    </w:p>
    <w:p>
      <w:pPr>
        <w:spacing w:after="90" w:line="276"/>
        <w:ind w:left="260"/>
      </w:pPr>
      <w:r>
        <w:rPr>
          <w:rFonts w:ascii="Calibri" w:cs="Calibri" w:eastAsia="Calibri" w:hAnsi="Calibri"/>
          <w:sz w:val="20"/>
          <w:szCs w:val="20"/>
        </w:rPr>
        <w:t xml:space="preserve">☐ Choose the sequencing: GCC first as a fast test of the mechanism, or the Netherlands first as the cleanest data fit.</w:t>
      </w:r>
    </w:p>
    <w:p>
      <w:pPr>
        <w:spacing w:after="90" w:line="276"/>
        <w:ind w:left="260"/>
      </w:pPr>
      <w:r>
        <w:rPr>
          <w:rFonts w:ascii="Calibri" w:cs="Calibri" w:eastAsia="Calibri" w:hAnsi="Calibri"/>
          <w:sz w:val="20"/>
          <w:szCs w:val="20"/>
        </w:rPr>
        <w:t xml:space="preserve">☐ Agree that xTalent is sold as scoped managed delivery, not staff augmentation, in all Bucket 1 markets (section 6).</w:t>
      </w:r>
    </w:p>
    <w:p>
      <w:pPr>
        <w:spacing w:after="120" w:before="160" w:line="276"/>
      </w:pPr>
      <w:r>
        <w:rPr>
          <w:rFonts w:ascii="Calibri" w:cs="Calibri" w:eastAsia="Calibri" w:hAnsi="Calibri"/>
          <w:b/>
          <w:bCs/>
          <w:color w:val="000000"/>
          <w:sz w:val="20"/>
          <w:szCs w:val="20"/>
        </w:rPr>
        <w:t xml:space="preserve">To action after the meeting:</w:t>
      </w:r>
    </w:p>
    <w:p>
      <w:pPr>
        <w:spacing w:after="90" w:line="276"/>
        <w:ind w:left="260"/>
      </w:pPr>
      <w:r>
        <w:rPr>
          <w:rFonts w:ascii="Calibri" w:cs="Calibri" w:eastAsia="Calibri" w:hAnsi="Calibri"/>
          <w:sz w:val="20"/>
          <w:szCs w:val="20"/>
        </w:rPr>
        <w:t xml:space="preserve">☐ Secure one named, publishable client reference — European or Gulf — for the capacity offering.</w:t>
      </w:r>
    </w:p>
    <w:p>
      <w:pPr>
        <w:spacing w:after="90" w:line="276"/>
        <w:ind w:left="260"/>
      </w:pPr>
      <w:r>
        <w:rPr>
          <w:rFonts w:ascii="Calibri" w:cs="Calibri" w:eastAsia="Calibri" w:hAnsi="Calibri"/>
          <w:sz w:val="20"/>
          <w:szCs w:val="20"/>
        </w:rPr>
        <w:t xml:space="preserve">☐ Resolve the personal-data transfer position for EU engagements before the first proposal goes out.</w:t>
      </w:r>
    </w:p>
    <w:p>
      <w:pPr>
        <w:spacing w:after="90" w:line="276"/>
        <w:ind w:left="260"/>
      </w:pPr>
      <w:r>
        <w:rPr>
          <w:rFonts w:ascii="Calibri" w:cs="Calibri" w:eastAsia="Calibri" w:hAnsi="Calibri"/>
          <w:sz w:val="20"/>
          <w:szCs w:val="20"/>
        </w:rPr>
        <w:t xml:space="preserve">☐ Build the Tier 1 account list: roughly 1,330 Dutch and 6,980 German mid-and-large enterprises are the addressable universe; a first tranche of 150–200 named accounts per market is the practical starting point.</w:t>
      </w:r>
    </w:p>
    <w:p>
      <w:pPr>
        <w:spacing w:after="90" w:line="276"/>
        <w:ind w:left="260"/>
      </w:pPr>
      <w:r>
        <w:rPr>
          <w:rFonts w:ascii="Calibri" w:cs="Calibri" w:eastAsia="Calibri" w:hAnsi="Calibri"/>
          <w:sz w:val="20"/>
          <w:szCs w:val="20"/>
        </w:rPr>
        <w:t xml:space="preserve">☐ Rewrite the capacity offering page and outbound sequences around scope-based delivery and the AÜG / DBA / Article 31 arguments.</w:t>
      </w:r>
    </w:p>
    <w:p>
      <w:pPr>
        <w:spacing w:after="90" w:line="276"/>
        <w:ind w:left="260"/>
      </w:pPr>
      <w:r>
        <w:rPr>
          <w:rFonts w:ascii="Calibri" w:cs="Calibri" w:eastAsia="Calibri" w:hAnsi="Calibri"/>
          <w:sz w:val="20"/>
          <w:szCs w:val="20"/>
        </w:rPr>
        <w:t xml:space="preserve">☐ Add a German-speaking seller or partner before Germany is funded as a programme.</w:t>
      </w:r>
    </w:p>
    <w:p>
      <w:pPr>
        <w:spacing w:before="240"/>
      </w:pPr>
      <w:r>
        <w:br w:type="page"/>
      </w:r>
    </w:p>
    <w:p>
      <w:pPr>
        <w:pStyle w:val="Heading1"/>
        <w:spacing w:after="160" w:before="360"/>
      </w:pPr>
      <w:r>
        <w:rPr>
          <w:rFonts w:ascii="Calibri" w:cs="Calibri" w:eastAsia="Calibri" w:hAnsi="Calibri"/>
          <w:b/>
          <w:bCs/>
          <w:color w:val="1F3864"/>
          <w:sz w:val="30"/>
          <w:szCs w:val="30"/>
        </w:rPr>
        <w:t xml:space="preserve">Appendix — sources</w:t>
      </w:r>
    </w:p>
    <w:p>
      <w:pPr>
        <w:spacing w:after="120" w:before="0" w:line="276"/>
      </w:pPr>
      <w:r>
        <w:rPr>
          <w:rFonts w:ascii="Calibri" w:cs="Calibri" w:eastAsia="Calibri" w:hAnsi="Calibri"/>
          <w:color w:val="000000"/>
          <w:sz w:val="20"/>
          <w:szCs w:val="20"/>
        </w:rPr>
        <w:t xml:space="preserve">Every figure in this report traces to one of the following. Nothing is estimated except where marked with a tilde.</w:t>
      </w:r>
    </w:p>
    <w:p>
      <w:pPr>
        <w:pStyle w:val="ListParagraph"/>
        <w:numPr>
          <w:ilvl w:val="0"/>
          <w:numId w:val="3"/>
        </w:numPr>
        <w:spacing w:after="80" w:line="276"/>
      </w:pPr>
      <w:r>
        <w:rPr>
          <w:rFonts w:ascii="Calibri" w:cs="Calibri" w:eastAsia="Calibri" w:hAnsi="Calibri"/>
          <w:color w:val="000000"/>
          <w:sz w:val="20"/>
          <w:szCs w:val="20"/>
        </w:rPr>
        <w:t xml:space="preserve">Eurostat, isoc_ske_itrcrs — enterprises that recruited or tried to recruit ICT specialists, and enterprises with hard-to-fill ICT vacancies. 2024 survey, retrieved via the Eurostat dissemination API on 7 September 2026.</w:t>
      </w:r>
    </w:p>
    <w:p>
      <w:pPr>
        <w:pStyle w:val="ListParagraph"/>
        <w:numPr>
          <w:ilvl w:val="0"/>
          <w:numId w:val="3"/>
        </w:numPr>
        <w:spacing w:after="80" w:line="276"/>
      </w:pPr>
      <w:r>
        <w:rPr>
          <w:rFonts w:ascii="Calibri" w:cs="Calibri" w:eastAsia="Calibri" w:hAnsi="Calibri"/>
          <w:color w:val="000000"/>
          <w:sz w:val="20"/>
          <w:szCs w:val="20"/>
        </w:rPr>
        <w:t xml:space="preserve">Eurostat, sbs_sc_ovw — enterprise counts by size class, 2023.</w:t>
      </w:r>
    </w:p>
    <w:p>
      <w:pPr>
        <w:pStyle w:val="ListParagraph"/>
        <w:numPr>
          <w:ilvl w:val="0"/>
          <w:numId w:val="3"/>
        </w:numPr>
        <w:spacing w:after="80" w:line="276"/>
      </w:pPr>
      <w:r>
        <w:rPr>
          <w:rFonts w:ascii="Calibri" w:cs="Calibri" w:eastAsia="Calibri" w:hAnsi="Calibri"/>
          <w:color w:val="000000"/>
          <w:sz w:val="20"/>
          <w:szCs w:val="20"/>
        </w:rPr>
        <w:t xml:space="preserve">OECD Employment Protection Legislation Database, 2020 edition — EPR, EPC and EPRC version 4 indicators, 2019 values.</w:t>
      </w:r>
    </w:p>
    <w:p>
      <w:pPr>
        <w:pStyle w:val="ListParagraph"/>
        <w:numPr>
          <w:ilvl w:val="0"/>
          <w:numId w:val="3"/>
        </w:numPr>
        <w:spacing w:after="80" w:line="276"/>
      </w:pPr>
      <w:r>
        <w:rPr>
          <w:rFonts w:ascii="Calibri" w:cs="Calibri" w:eastAsia="Calibri" w:hAnsi="Calibri"/>
          <w:color w:val="000000"/>
          <w:sz w:val="20"/>
          <w:szCs w:val="20"/>
        </w:rPr>
        <w:t xml:space="preserve">IMF World Economic Outlook, real GDP growth (NGDP_RPCH), retrieved via the IMF DataMapper API on 7 September 2026.</w:t>
      </w:r>
    </w:p>
    <w:p>
      <w:pPr>
        <w:pStyle w:val="ListParagraph"/>
        <w:numPr>
          <w:ilvl w:val="0"/>
          <w:numId w:val="3"/>
        </w:numPr>
        <w:spacing w:after="80" w:line="276"/>
      </w:pPr>
      <w:r>
        <w:rPr>
          <w:rFonts w:ascii="Calibri" w:cs="Calibri" w:eastAsia="Calibri" w:hAnsi="Calibri"/>
          <w:color w:val="000000"/>
          <w:sz w:val="20"/>
          <w:szCs w:val="20"/>
        </w:rPr>
        <w:t xml:space="preserve">ManpowerGroup, 2026 Global Talent Shortage Survey — 39,063 employers across 41 countries, fieldwork 1–31 October 2025.</w:t>
      </w:r>
    </w:p>
    <w:p>
      <w:pPr>
        <w:pStyle w:val="ListParagraph"/>
        <w:numPr>
          <w:ilvl w:val="0"/>
          <w:numId w:val="3"/>
        </w:numPr>
        <w:spacing w:after="80" w:line="276"/>
      </w:pPr>
      <w:r>
        <w:rPr>
          <w:rFonts w:ascii="Calibri" w:cs="Calibri" w:eastAsia="Calibri" w:hAnsi="Calibri"/>
          <w:color w:val="000000"/>
          <w:sz w:val="20"/>
          <w:szCs w:val="20"/>
        </w:rPr>
        <w:t xml:space="preserve">Bitkom IT specialist shortage study, August 2025 — 855 companies surveyed; 109,000 unfilled IT positions, 7.7 months average time to fill, 85% reporting a shortage, 79% expecting it to worsen.</w:t>
      </w:r>
    </w:p>
    <w:p>
      <w:pPr>
        <w:pStyle w:val="ListParagraph"/>
        <w:numPr>
          <w:ilvl w:val="0"/>
          <w:numId w:val="3"/>
        </w:numPr>
        <w:spacing w:after="80" w:line="276"/>
      </w:pPr>
      <w:r>
        <w:rPr>
          <w:rFonts w:ascii="Calibri" w:cs="Calibri" w:eastAsia="Calibri" w:hAnsi="Calibri"/>
          <w:color w:val="000000"/>
          <w:sz w:val="20"/>
          <w:szCs w:val="20"/>
        </w:rPr>
        <w:t xml:space="preserve">Gartner — worldwide IT spending forecast for 2026 and European IT spending forecast for 2026.</w:t>
      </w:r>
    </w:p>
    <w:p>
      <w:pPr>
        <w:pStyle w:val="ListParagraph"/>
        <w:numPr>
          <w:ilvl w:val="0"/>
          <w:numId w:val="3"/>
        </w:numPr>
        <w:spacing w:after="80" w:line="276"/>
      </w:pPr>
      <w:r>
        <w:rPr>
          <w:rFonts w:ascii="Calibri" w:cs="Calibri" w:eastAsia="Calibri" w:hAnsi="Calibri"/>
          <w:color w:val="000000"/>
          <w:sz w:val="20"/>
          <w:szCs w:val="20"/>
        </w:rPr>
        <w:t xml:space="preserve">Mordor Intelligence — Netherlands IT services market size, 2025–2031.</w:t>
      </w:r>
    </w:p>
    <w:p>
      <w:pPr>
        <w:pStyle w:val="ListParagraph"/>
        <w:numPr>
          <w:ilvl w:val="0"/>
          <w:numId w:val="3"/>
        </w:numPr>
        <w:spacing w:after="80" w:line="276"/>
      </w:pPr>
      <w:r>
        <w:rPr>
          <w:rFonts w:ascii="Calibri" w:cs="Calibri" w:eastAsia="Calibri" w:hAnsi="Calibri"/>
          <w:color w:val="000000"/>
          <w:sz w:val="20"/>
          <w:szCs w:val="20"/>
        </w:rPr>
        <w:t xml:space="preserve">German IT sourcing survey 2024, as reported — outsourcing and nearshore intentions of leading German IT-spending organisations.</w:t>
      </w:r>
    </w:p>
    <w:p>
      <w:pPr>
        <w:pStyle w:val="ListParagraph"/>
        <w:numPr>
          <w:ilvl w:val="0"/>
          <w:numId w:val="3"/>
        </w:numPr>
        <w:spacing w:after="80" w:line="276"/>
      </w:pPr>
      <w:r>
        <w:rPr>
          <w:rFonts w:ascii="Calibri" w:cs="Calibri" w:eastAsia="Calibri" w:hAnsi="Calibri"/>
          <w:color w:val="000000"/>
          <w:sz w:val="20"/>
          <w:szCs w:val="20"/>
        </w:rPr>
        <w:t xml:space="preserve">National legislation: Arbeitnehmerüberlassungsgesetz (Germany); Wet DBA (Netherlands); Act of 24 July 1987, Article 31 (Belgium); Code du travail provisions on prêt de main-d’œuvre illicite and marchandage (France); off-payroll working rules (United Kingdom).</w:t>
      </w:r>
    </w:p>
    <w:p>
      <w:pPr>
        <w:pStyle w:val="ListParagraph"/>
        <w:numPr>
          <w:ilvl w:val="0"/>
          <w:numId w:val="3"/>
        </w:numPr>
        <w:spacing w:after="80" w:line="276"/>
      </w:pPr>
      <w:r>
        <w:rPr>
          <w:rFonts w:ascii="Calibri" w:cs="Calibri" w:eastAsia="Calibri" w:hAnsi="Calibri"/>
          <w:color w:val="000000"/>
          <w:sz w:val="20"/>
          <w:szCs w:val="20"/>
        </w:rPr>
        <w:t xml:space="preserve">UAE Ministry of Human Resources and Emiratisation — Emiratisation targets and penalties for 2026. Saudi Ministry of Human Resources and Social Development — Nitaqat cycle from November 2025.</w:t>
      </w:r>
    </w:p>
    <w:p>
      <w:pPr>
        <w:pStyle w:val="ListParagraph"/>
        <w:numPr>
          <w:ilvl w:val="0"/>
          <w:numId w:val="3"/>
        </w:numPr>
        <w:spacing w:after="80" w:line="276"/>
      </w:pPr>
      <w:r>
        <w:rPr>
          <w:rFonts w:ascii="Calibri" w:cs="Calibri" w:eastAsia="Calibri" w:hAnsi="Calibri"/>
          <w:color w:val="000000"/>
          <w:sz w:val="20"/>
          <w:szCs w:val="20"/>
        </w:rPr>
        <w:t xml:space="preserve">METI (Japan) — IT human resources demand survey, projected shortfall to 2030.</w:t>
      </w:r>
    </w:p>
    <w:p>
      <w:pPr>
        <w:pStyle w:val="ListParagraph"/>
        <w:numPr>
          <w:ilvl w:val="0"/>
          <w:numId w:val="3"/>
        </w:numPr>
        <w:spacing w:after="80" w:line="276"/>
      </w:pPr>
      <w:r>
        <w:rPr>
          <w:rFonts w:ascii="Calibri" w:cs="Calibri" w:eastAsia="Calibri" w:hAnsi="Calibri"/>
          <w:color w:val="000000"/>
          <w:sz w:val="20"/>
          <w:szCs w:val="20"/>
        </w:rPr>
        <w:t xml:space="preserve">European Commission — GDPR adequacy decisions list, current as at 2026.</w:t>
      </w:r>
    </w:p>
    <w:p>
      <w:pPr>
        <w:pStyle w:val="ListParagraph"/>
        <w:numPr>
          <w:ilvl w:val="0"/>
          <w:numId w:val="3"/>
        </w:numPr>
        <w:spacing w:after="80" w:line="276"/>
      </w:pPr>
      <w:r>
        <w:rPr>
          <w:rFonts w:ascii="Calibri" w:cs="Calibri" w:eastAsia="Calibri" w:hAnsi="Calibri"/>
          <w:color w:val="000000"/>
          <w:sz w:val="20"/>
          <w:szCs w:val="20"/>
        </w:rPr>
        <w:t xml:space="preserve">xLoop Marketing Brain, Release 1 — offering inventory, ICP master and geographic strategy, for internal delivery evidence and the proof-gap position.</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xLoop · Bucket 1 regional assessment · 7 September 2026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Bucket 1 — Regional Targeting for Lead Generation</dc:title>
  <dc:creator>xLoop</dc:creator>
  <dc:description>Ranked regional target list for xTalent capacity sales</dc:description>
  <cp:lastModifiedBy>Un-named</cp:lastModifiedBy>
  <cp:revision>1</cp:revision>
  <dcterms:created xsi:type="dcterms:W3CDTF">2026-09-07T11:11:39.223Z</dcterms:created>
  <dcterms:modified xsi:type="dcterms:W3CDTF">2026-09-07T11:11:39.224Z</dcterms:modified>
</cp:coreProperties>
</file>

<file path=docProps/custom.xml><?xml version="1.0" encoding="utf-8"?>
<Properties xmlns="http://schemas.openxmlformats.org/officeDocument/2006/custom-properties" xmlns:vt="http://schemas.openxmlformats.org/officeDocument/2006/docPropsVTypes"/>
</file>