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Aptos" w:cs="Aptos" w:eastAsia="Aptos" w:hAnsi="Aptos"/>
          <w:b/>
          <w:bCs/>
          <w:color w:val="0E9A8D"/>
          <w:spacing w:val="60"/>
          <w:sz w:val="20"/>
          <w:szCs w:val="20"/>
        </w:rPr>
        <w:t xml:space="preserve">POWER ⚡ SECURE</w:t>
      </w:r>
    </w:p>
    <w:p>
      <w:pPr>
        <w:spacing w:after="80"/>
      </w:pPr>
      <w:r>
        <w:rPr>
          <w:rFonts w:ascii="Aptos" w:cs="Aptos" w:eastAsia="Aptos" w:hAnsi="Aptos"/>
          <w:b/>
          <w:bCs/>
          <w:color w:val="0A1B3D"/>
          <w:sz w:val="48"/>
          <w:szCs w:val="48"/>
        </w:rPr>
        <w:t xml:space="preserve">NEPRA IT/OT Regulatory Compliance</w:t>
      </w:r>
    </w:p>
    <w:p>
      <w:pPr>
        <w:spacing w:after="260"/>
      </w:pPr>
      <w:r>
        <w:rPr>
          <w:rFonts w:ascii="Aptos" w:cs="Aptos" w:eastAsia="Aptos" w:hAnsi="Aptos"/>
          <w:color w:val="1F6FEB"/>
          <w:sz w:val="28"/>
          <w:szCs w:val="28"/>
        </w:rPr>
        <w:t xml:space="preserve">Website Copy Deck — Homepage, Landing Page &amp; CTA</w:t>
      </w:r>
    </w:p>
    <w:p>
      <w:pPr>
        <w:pBdr>
          <w:bottom w:val="single" w:color="D5DCE6" w:sz="6"/>
        </w:pBdr>
        <w:spacing w:after="120" w:before="120"/>
      </w:pPr>
      <w:r>
        <w:rPr>
          <w:rFonts w:ascii="Aptos" w:cs="Aptos" w:eastAsia="Aptos" w:hAnsi="Aptos"/>
          <w:sz w:val="21"/>
          <w:szCs w:val="21"/>
        </w:rPr>
        <w:t xml:space="preserve"/>
      </w:r>
    </w:p>
    <w:p>
      <w:pPr>
        <w:spacing w:after="120" w:line="276"/>
      </w:pPr>
      <w:r>
        <w:rPr>
          <w:rFonts w:ascii="Aptos" w:cs="Aptos" w:eastAsia="Aptos" w:hAnsi="Aptos"/>
          <w:b/>
          <w:bCs/>
          <w:sz w:val="21"/>
          <w:szCs w:val="21"/>
        </w:rPr>
        <w:t xml:space="preserve">Prepared for: </w:t>
      </w:r>
      <w:r>
        <w:rPr>
          <w:rFonts w:ascii="Aptos" w:cs="Aptos" w:eastAsia="Aptos" w:hAnsi="Aptos"/>
          <w:sz w:val="21"/>
          <w:szCs w:val="21"/>
        </w:rPr>
        <w:t xml:space="preserve">xLoop Digital Services — marketing &amp; web team</w:t>
      </w:r>
    </w:p>
    <w:p>
      <w:pPr>
        <w:spacing w:after="120" w:line="276"/>
      </w:pPr>
      <w:r>
        <w:rPr>
          <w:rFonts w:ascii="Aptos" w:cs="Aptos" w:eastAsia="Aptos" w:hAnsi="Aptos"/>
          <w:b/>
          <w:bCs/>
          <w:sz w:val="21"/>
          <w:szCs w:val="21"/>
        </w:rPr>
        <w:t xml:space="preserve">Campaign: </w:t>
      </w:r>
      <w:r>
        <w:rPr>
          <w:rFonts w:ascii="Aptos" w:cs="Aptos" w:eastAsia="Aptos" w:hAnsi="Aptos"/>
          <w:sz w:val="21"/>
          <w:szCs w:val="21"/>
        </w:rPr>
        <w:t xml:space="preserve">NEPRA compliance-advisory letter mailing (87 NEPRA-listed companies)</w:t>
      </w:r>
    </w:p>
    <w:p>
      <w:pPr>
        <w:spacing w:after="120" w:line="276"/>
      </w:pPr>
      <w:r>
        <w:rPr>
          <w:rFonts w:ascii="Aptos" w:cs="Aptos" w:eastAsia="Aptos" w:hAnsi="Aptos"/>
          <w:b/>
          <w:bCs/>
          <w:sz w:val="21"/>
          <w:szCs w:val="21"/>
        </w:rPr>
        <w:t xml:space="preserve">Date: </w:t>
      </w:r>
      <w:r>
        <w:rPr>
          <w:rFonts w:ascii="Aptos" w:cs="Aptos" w:eastAsia="Aptos" w:hAnsi="Aptos"/>
          <w:sz w:val="21"/>
          <w:szCs w:val="21"/>
        </w:rPr>
        <w:t xml:space="preserve">25 August 2026</w:t>
      </w:r>
    </w:p>
    <w:p>
      <w:pPr>
        <w:spacing w:after="120" w:line="276"/>
      </w:pPr>
      <w:r>
        <w:rPr>
          <w:rFonts w:ascii="Aptos" w:cs="Aptos" w:eastAsia="Aptos" w:hAnsi="Aptos"/>
          <w:b/>
          <w:bCs/>
          <w:sz w:val="21"/>
          <w:szCs w:val="21"/>
        </w:rPr>
        <w:t xml:space="preserve">Status: </w:t>
      </w:r>
      <w:r>
        <w:rPr>
          <w:rFonts w:ascii="Aptos" w:cs="Aptos" w:eastAsia="Aptos" w:hAnsi="Aptos"/>
          <w:sz w:val="21"/>
          <w:szCs w:val="21"/>
        </w:rPr>
        <w:t xml:space="preserve">Draft for review — contains items flagged for verification</w:t>
      </w:r>
    </w:p>
    <w:p>
      <w:pPr>
        <w:spacing w:after="400"/>
      </w:pPr>
      <w:r>
        <w:rPr>
          <w:rFonts w:ascii="Aptos" w:cs="Aptos" w:eastAsia="Aptos" w:hAnsi="Aptos"/>
          <w:sz w:val="21"/>
          <w:szCs w:val="21"/>
        </w:rPr>
        <w:t xml:space="preserve"/>
      </w:r>
    </w:p>
    <w:tbl>
      <w:tblPr>
        <w:tblW w:type="dxa" w:w="9026"/>
        <w:tblBorders>
          <w:top w:val="single" w:color="FFF4E5" w:sz="2"/>
          <w:left w:val="single" w:color="F59E0B" w:sz="18"/>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60"/>
              <w:left w:type="dxa" w:w="220"/>
              <w:bottom w:type="dxa" w:w="160"/>
              <w:right w:type="dxa" w:w="220"/>
            </w:tcMar>
          </w:tcPr>
          <w:p>
            <w:pPr>
              <w:spacing w:after="100"/>
            </w:pPr>
            <w:r>
              <w:rPr>
                <w:rFonts w:ascii="Aptos" w:cs="Aptos" w:eastAsia="Aptos" w:hAnsi="Aptos"/>
                <w:b/>
                <w:bCs/>
                <w:color w:val="B45309"/>
                <w:sz w:val="22"/>
                <w:szCs w:val="22"/>
              </w:rPr>
              <w:t xml:space="preserve">The one thing that must not happen</w:t>
            </w:r>
          </w:p>
          <w:p>
            <w:pPr>
              <w:spacing w:after="80"/>
            </w:pPr>
            <w:r>
              <w:rPr>
                <w:rFonts w:ascii="Aptos" w:cs="Aptos" w:eastAsia="Aptos" w:hAnsi="Aptos"/>
                <w:sz w:val="20"/>
                <w:szCs w:val="20"/>
              </w:rPr>
              <w:t xml:space="preserve">Do not publish the NEPRA flyer as an image on the website. An image is invisible to Google, to AI answer engines, and to screen readers. Every word in this deck exists so the same message ships as real, selectable HTML text. The flyer stays a print and email asset only.</w:t>
            </w:r>
          </w:p>
        </w:tc>
      </w:tr>
    </w:tbl>
    <w:p>
      <w:r>
        <w:br w:type="page"/>
      </w:r>
    </w:p>
    <w:p>
      <w:pPr>
        <w:pStyle w:val="Heading1"/>
        <w:spacing w:after="160" w:before="360"/>
      </w:pPr>
      <w:r>
        <w:rPr>
          <w:rFonts w:ascii="Aptos" w:cs="Aptos" w:eastAsia="Aptos" w:hAnsi="Aptos"/>
          <w:b/>
          <w:bCs/>
          <w:color w:val="0A1B3D"/>
          <w:sz w:val="32"/>
          <w:szCs w:val="32"/>
        </w:rPr>
        <w:t xml:space="preserve">1. What this document is</w:t>
      </w:r>
    </w:p>
    <w:p>
      <w:pPr>
        <w:spacing w:after="120" w:line="276"/>
      </w:pPr>
      <w:r>
        <w:rPr>
          <w:rFonts w:ascii="Aptos" w:cs="Aptos" w:eastAsia="Aptos" w:hAnsi="Aptos"/>
          <w:sz w:val="21"/>
          <w:szCs w:val="21"/>
        </w:rPr>
        <w:t xml:space="preserve">Three pieces of copy, in the order a letter recipient meets them:</w:t>
      </w:r>
    </w:p>
    <w:p>
      <w:pPr>
        <w:pStyle w:val="ListParagraph"/>
        <w:numPr>
          <w:ilvl w:val="0"/>
          <w:numId w:val="2"/>
        </w:numPr>
        <w:spacing w:after="60" w:line="276"/>
      </w:pPr>
      <w:r>
        <w:rPr>
          <w:rFonts w:ascii="Aptos" w:cs="Aptos" w:eastAsia="Aptos" w:hAnsi="Aptos"/>
          <w:b/>
          <w:bCs/>
          <w:sz w:val="21"/>
          <w:szCs w:val="21"/>
        </w:rPr>
        <w:t xml:space="preserve">Homepage </w:t>
      </w:r>
      <w:r>
        <w:rPr>
          <w:rFonts w:ascii="Aptos" w:cs="Aptos" w:eastAsia="Aptos" w:hAnsi="Aptos"/>
          <w:sz w:val="21"/>
          <w:szCs w:val="21"/>
        </w:rPr>
        <w:t xml:space="preserve">— a temporary notice, visible without scrolling, that says xLoop does NEPRA compliance. Comes down after 20–30 days.</w:t>
      </w:r>
    </w:p>
    <w:p>
      <w:pPr>
        <w:pStyle w:val="ListParagraph"/>
        <w:numPr>
          <w:ilvl w:val="0"/>
          <w:numId w:val="2"/>
        </w:numPr>
        <w:spacing w:after="60" w:line="276"/>
      </w:pPr>
      <w:r>
        <w:rPr>
          <w:rFonts w:ascii="Aptos" w:cs="Aptos" w:eastAsia="Aptos" w:hAnsi="Aptos"/>
          <w:b/>
          <w:bCs/>
          <w:sz w:val="21"/>
          <w:szCs w:val="21"/>
        </w:rPr>
        <w:t xml:space="preserve">NEPRA landing page </w:t>
      </w:r>
      <w:r>
        <w:rPr>
          <w:rFonts w:ascii="Aptos" w:cs="Aptos" w:eastAsia="Aptos" w:hAnsi="Aptos"/>
          <w:sz w:val="21"/>
          <w:szCs w:val="21"/>
        </w:rPr>
        <w:t xml:space="preserve">— the services from the flyer, the regulation coverage, credentials, and the proof that we have actually done this. Stays live permanently (see section 7).</w:t>
      </w:r>
    </w:p>
    <w:p>
      <w:pPr>
        <w:pStyle w:val="ListParagraph"/>
        <w:numPr>
          <w:ilvl w:val="0"/>
          <w:numId w:val="2"/>
        </w:numPr>
        <w:spacing w:after="60" w:line="276"/>
      </w:pPr>
      <w:r>
        <w:rPr>
          <w:rFonts w:ascii="Aptos" w:cs="Aptos" w:eastAsia="Aptos" w:hAnsi="Aptos"/>
          <w:b/>
          <w:bCs/>
          <w:sz w:val="21"/>
          <w:szCs w:val="21"/>
        </w:rPr>
        <w:t xml:space="preserve">Call-to-action </w:t>
      </w:r>
      <w:r>
        <w:rPr>
          <w:rFonts w:ascii="Aptos" w:cs="Aptos" w:eastAsia="Aptos" w:hAnsi="Aptos"/>
          <w:sz w:val="21"/>
          <w:szCs w:val="21"/>
        </w:rPr>
        <w:t xml:space="preserve">— clickable phone and email, exactly as printed on the mailed letter, repeated at three points on the page.</w:t>
      </w:r>
    </w:p>
    <w:p>
      <w:pPr>
        <w:pStyle w:val="Heading2"/>
        <w:spacing w:after="120" w:before="300"/>
      </w:pPr>
      <w:r>
        <w:rPr>
          <w:rFonts w:ascii="Aptos" w:cs="Aptos" w:eastAsia="Aptos" w:hAnsi="Aptos"/>
          <w:b/>
          <w:bCs/>
          <w:color w:val="0A1B3D"/>
          <w:sz w:val="26"/>
          <w:szCs w:val="26"/>
        </w:rPr>
        <w:t xml:space="preserve">The recommendation in one paragraph</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sz w:val="20"/>
                <w:szCs w:val="20"/>
              </w:rPr>
              <w:t xml:space="preserve">Split the ask in two. </w:t>
            </w:r>
            <w:r>
              <w:rPr>
                <w:rFonts w:ascii="Aptos" w:cs="Aptos" w:eastAsia="Aptos" w:hAnsi="Aptos"/>
                <w:sz w:val="20"/>
                <w:szCs w:val="20"/>
              </w:rPr>
              <w:t xml:space="preserve">Give the CEO what he wants — a big, bold, no-scroll notice — as a </w:t>
            </w:r>
            <w:r>
              <w:rPr>
                <w:rFonts w:ascii="Aptos" w:cs="Aptos" w:eastAsia="Aptos" w:hAnsi="Aptos"/>
                <w:b/>
                <w:bCs/>
                <w:sz w:val="20"/>
                <w:szCs w:val="20"/>
              </w:rPr>
              <w:t xml:space="preserve">separate, deletable ribbon</w:t>
            </w:r>
            <w:r>
              <w:rPr>
                <w:rFonts w:ascii="Aptos" w:cs="Aptos" w:eastAsia="Aptos" w:hAnsi="Aptos"/>
                <w:sz w:val="20"/>
                <w:szCs w:val="20"/>
              </w:rPr>
              <w:t xml:space="preserve"> at the very top of the homepage. Then add a </w:t>
            </w:r>
            <w:r>
              <w:rPr>
                <w:rFonts w:ascii="Aptos" w:cs="Aptos" w:eastAsia="Aptos" w:hAnsi="Aptos"/>
                <w:b/>
                <w:bCs/>
                <w:sz w:val="20"/>
                <w:szCs w:val="20"/>
              </w:rPr>
              <w:t xml:space="preserve">permanent NEPRA band</w:t>
            </w:r>
            <w:r>
              <w:rPr>
                <w:rFonts w:ascii="Aptos" w:cs="Aptos" w:eastAsia="Aptos" w:hAnsi="Aptos"/>
                <w:sz w:val="20"/>
                <w:szCs w:val="20"/>
              </w:rPr>
              <w:t xml:space="preserve"> further down, built from the same component as the existing AI Security band. On day 30 you delete the ribbon and nothing else changes. Do not delete or replace the AI Security section — see section 2.</w:t>
            </w:r>
          </w:p>
        </w:tc>
      </w:tr>
    </w:tbl>
    <w:p>
      <w:pPr>
        <w:pStyle w:val="Heading2"/>
        <w:spacing w:after="120" w:before="300"/>
      </w:pPr>
      <w:r>
        <w:rPr>
          <w:rFonts w:ascii="Aptos" w:cs="Aptos" w:eastAsia="Aptos" w:hAnsi="Aptos"/>
          <w:b/>
          <w:bCs/>
          <w:color w:val="0A1B3D"/>
          <w:sz w:val="26"/>
          <w:szCs w:val="26"/>
        </w:rPr>
        <w:t xml:space="preserve">Where the content came from</w:t>
      </w:r>
    </w:p>
    <w:p>
      <w:pPr>
        <w:pStyle w:val="ListParagraph"/>
        <w:numPr>
          <w:ilvl w:val="0"/>
          <w:numId w:val="3"/>
        </w:numPr>
        <w:spacing w:after="60" w:line="276"/>
      </w:pPr>
      <w:r>
        <w:rPr>
          <w:rFonts w:ascii="Aptos" w:cs="Aptos" w:eastAsia="Aptos" w:hAnsi="Aptos"/>
          <w:sz w:val="21"/>
          <w:szCs w:val="21"/>
        </w:rPr>
        <w:t xml:space="preserve">The mailed flyer (NEPRA IT/OT Regulatory Compliance Services — four services, tagline, phone, email).</w:t>
      </w:r>
    </w:p>
    <w:p>
      <w:pPr>
        <w:pStyle w:val="ListParagraph"/>
        <w:numPr>
          <w:ilvl w:val="0"/>
          <w:numId w:val="3"/>
        </w:numPr>
        <w:spacing w:after="60" w:line="276"/>
      </w:pPr>
      <w:r>
        <w:rPr>
          <w:rFonts w:ascii="Aptos" w:cs="Aptos" w:eastAsia="Aptos" w:hAnsi="Aptos"/>
          <w:sz w:val="21"/>
          <w:szCs w:val="21"/>
        </w:rPr>
        <w:t xml:space="preserve">The ACT Wind IT/OT audit proposal dated 17 November 2025 — source for regulation numbering, scope, methodology, deliverables and credentials.</w:t>
      </w:r>
    </w:p>
    <w:p>
      <w:pPr>
        <w:pStyle w:val="ListParagraph"/>
        <w:numPr>
          <w:ilvl w:val="0"/>
          <w:numId w:val="3"/>
        </w:numPr>
        <w:spacing w:after="60" w:line="276"/>
      </w:pPr>
      <w:r>
        <w:rPr>
          <w:rFonts w:ascii="Aptos" w:cs="Aptos" w:eastAsia="Aptos" w:hAnsi="Aptos"/>
          <w:sz w:val="21"/>
          <w:szCs w:val="21"/>
        </w:rPr>
        <w:t xml:space="preserve">The 87-company recipient list — source for who is actually reading this.</w:t>
      </w:r>
    </w:p>
    <w:p>
      <w:pPr>
        <w:pStyle w:val="ListParagraph"/>
        <w:numPr>
          <w:ilvl w:val="0"/>
          <w:numId w:val="3"/>
        </w:numPr>
        <w:spacing w:after="60" w:line="276"/>
      </w:pPr>
      <w:r>
        <w:rPr>
          <w:rFonts w:ascii="Aptos" w:cs="Aptos" w:eastAsia="Aptos" w:hAnsi="Aptos"/>
          <w:sz w:val="21"/>
          <w:szCs w:val="21"/>
        </w:rPr>
        <w:t xml:space="preserve">The xLoop homepage revamp Figma file — source for the design system the new sections must match.</w:t>
      </w:r>
    </w:p>
    <w:p>
      <w:pPr>
        <w:pStyle w:val="Heading2"/>
        <w:spacing w:after="120" w:before="300"/>
      </w:pPr>
      <w:r>
        <w:rPr>
          <w:rFonts w:ascii="Aptos" w:cs="Aptos" w:eastAsia="Aptos" w:hAnsi="Aptos"/>
          <w:b/>
          <w:bCs/>
          <w:color w:val="0A1B3D"/>
          <w:sz w:val="26"/>
          <w:szCs w:val="26"/>
        </w:rPr>
        <w:t xml:space="preserve">Who is actually reading this page</w:t>
      </w:r>
    </w:p>
    <w:p>
      <w:pPr>
        <w:spacing w:after="120" w:line="276"/>
      </w:pPr>
      <w:r>
        <w:rPr>
          <w:rFonts w:ascii="Aptos" w:cs="Aptos" w:eastAsia="Aptos" w:hAnsi="Aptos"/>
          <w:sz w:val="21"/>
          <w:szCs w:val="21"/>
        </w:rPr>
        <w:t xml:space="preserve">This matters more than anything else in this deck, and it changes the writing. From the recipient list:</w:t>
      </w:r>
    </w:p>
    <w:p>
      <w:pPr>
        <w:pStyle w:val="ListParagraph"/>
        <w:numPr>
          <w:ilvl w:val="0"/>
          <w:numId w:val="3"/>
        </w:numPr>
        <w:spacing w:after="60" w:line="276"/>
      </w:pPr>
      <w:r>
        <w:rPr>
          <w:rFonts w:ascii="Aptos" w:cs="Aptos" w:eastAsia="Aptos" w:hAnsi="Aptos"/>
          <w:b/>
          <w:bCs/>
          <w:sz w:val="21"/>
          <w:szCs w:val="21"/>
        </w:rPr>
        <w:t xml:space="preserve">Not one of the 87 companies has a publicly identifiable CISO. </w:t>
      </w:r>
      <w:r>
        <w:rPr>
          <w:rFonts w:ascii="Aptos" w:cs="Aptos" w:eastAsia="Aptos" w:hAnsi="Aptos"/>
          <w:sz w:val="21"/>
          <w:szCs w:val="21"/>
        </w:rPr>
        <w:t xml:space="preserve">Only three have a confirmed CTO.</w:t>
      </w:r>
    </w:p>
    <w:p>
      <w:pPr>
        <w:pStyle w:val="ListParagraph"/>
        <w:numPr>
          <w:ilvl w:val="0"/>
          <w:numId w:val="3"/>
        </w:numPr>
        <w:spacing w:after="60" w:line="276"/>
      </w:pPr>
      <w:r>
        <w:rPr>
          <w:rFonts w:ascii="Aptos" w:cs="Aptos" w:eastAsia="Aptos" w:hAnsi="Aptos"/>
          <w:sz w:val="21"/>
          <w:szCs w:val="21"/>
        </w:rPr>
        <w:t xml:space="preserve">84 of 87 letters went to a CEO or the most senior executive available; 16 went out as “Dear Sir/Madam”.</w:t>
      </w:r>
    </w:p>
    <w:p>
      <w:pPr>
        <w:pStyle w:val="ListParagraph"/>
        <w:numPr>
          <w:ilvl w:val="0"/>
          <w:numId w:val="3"/>
        </w:numPr>
        <w:spacing w:after="60" w:line="276"/>
      </w:pPr>
      <w:r>
        <w:rPr>
          <w:rFonts w:ascii="Aptos" w:cs="Aptos" w:eastAsia="Aptos" w:hAnsi="Aptos"/>
          <w:sz w:val="21"/>
          <w:szCs w:val="21"/>
        </w:rPr>
        <w:t xml:space="preserve">The list spans WAPDA hydropower stations, DISCOs (LESCO, GEPCO, HESCO), K-Electric, big IPPs (HUBCO, Lucky Electric, Engro Thar), and a long tail of small wind and solar SPVs — plus captive power at textile, cement and sugar mills.</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r>
              <w:rPr>
                <w:rFonts w:ascii="Aptos" w:cs="Aptos" w:eastAsia="Aptos" w:hAnsi="Aptos"/>
                <w:b/>
                <w:bCs/>
                <w:sz w:val="20"/>
                <w:szCs w:val="20"/>
              </w:rPr>
              <w:t xml:space="preserve">So the first reader is a chief executive, not a security engineer. </w:t>
            </w:r>
            <w:r>
              <w:rPr>
                <w:rFonts w:ascii="Aptos" w:cs="Aptos" w:eastAsia="Aptos" w:hAnsi="Aptos"/>
                <w:sz w:val="20"/>
                <w:szCs w:val="20"/>
              </w:rPr>
              <w:t xml:space="preserve">The top of the page must make the obligation and the risk legible in fifteen seconds, in plain language. The clause-level detail goes lower down, for the plant IT manager or GM Operations they forward it to. One page, two depths, in that order.</w:t>
            </w:r>
          </w:p>
        </w:tc>
      </w:tr>
    </w:tbl>
    <w:p>
      <w:r>
        <w:br w:type="page"/>
      </w:r>
    </w:p>
    <w:p>
      <w:pPr>
        <w:pStyle w:val="Heading1"/>
        <w:spacing w:after="160" w:before="360"/>
      </w:pPr>
      <w:r>
        <w:rPr>
          <w:rFonts w:ascii="Aptos" w:cs="Aptos" w:eastAsia="Aptos" w:hAnsi="Aptos"/>
          <w:b/>
          <w:bCs/>
          <w:color w:val="0A1B3D"/>
          <w:sz w:val="32"/>
          <w:szCs w:val="32"/>
        </w:rPr>
        <w:t xml:space="preserve">2. Should the AI Security section be replaced?</w:t>
      </w:r>
    </w:p>
    <w:p>
      <w:pPr>
        <w:spacing w:after="120" w:line="276"/>
      </w:pPr>
      <w:r>
        <w:rPr>
          <w:rFonts w:ascii="Aptos" w:cs="Aptos" w:eastAsia="Aptos" w:hAnsi="Aptos"/>
          <w:b/>
          <w:bCs/>
          <w:sz w:val="21"/>
          <w:szCs w:val="21"/>
        </w:rPr>
        <w:t xml:space="preserve">No. Keep it. </w:t>
      </w:r>
      <w:r>
        <w:rPr>
          <w:rFonts w:ascii="Aptos" w:cs="Aptos" w:eastAsia="Aptos" w:hAnsi="Aptos"/>
          <w:sz w:val="21"/>
          <w:szCs w:val="21"/>
        </w:rPr>
        <w:t xml:space="preserve">Here is the reasoning, because this is the decision most likely to be argued about.</w:t>
      </w:r>
    </w:p>
    <w:p>
      <w:pPr>
        <w:pStyle w:val="Heading3"/>
        <w:spacing w:after="100" w:before="220"/>
      </w:pPr>
      <w:r>
        <w:rPr>
          <w:rFonts w:ascii="Aptos" w:cs="Aptos" w:eastAsia="Aptos" w:hAnsi="Aptos"/>
          <w:b/>
          <w:bCs/>
          <w:color w:val="1F6FEB"/>
          <w:sz w:val="22"/>
          <w:szCs w:val="22"/>
        </w:rPr>
        <w:t xml:space="preserve">What that section currently does</w:t>
      </w:r>
    </w:p>
    <w:p>
      <w:pPr>
        <w:spacing w:after="120" w:line="276"/>
      </w:pPr>
      <w:r>
        <w:rPr>
          <w:rFonts w:ascii="Aptos" w:cs="Aptos" w:eastAsia="Aptos" w:hAnsi="Aptos"/>
          <w:sz w:val="21"/>
          <w:szCs w:val="21"/>
        </w:rPr>
        <w:t xml:space="preserve">The third band of the homepage design reads “97% of Organizations Using GenAI Reported a Security Incident. Is Yours Prepared?” with the button “Get Your AI Security Score”. It is the only conversion mechanism on the homepage aimed at a buyer who is not already shopping for a named service.</w:t>
      </w:r>
    </w:p>
    <w:p>
      <w:pPr>
        <w:pStyle w:val="Heading3"/>
        <w:spacing w:after="100" w:before="220"/>
      </w:pPr>
      <w:r>
        <w:rPr>
          <w:rFonts w:ascii="Aptos" w:cs="Aptos" w:eastAsia="Aptos" w:hAnsi="Aptos"/>
          <w:b/>
          <w:bCs/>
          <w:color w:val="1F6FEB"/>
          <w:sz w:val="22"/>
          <w:szCs w:val="22"/>
        </w:rPr>
        <w:t xml:space="preserve">Why replacing it is a bad trade</w:t>
      </w:r>
    </w:p>
    <w:p>
      <w:pPr>
        <w:pStyle w:val="ListParagraph"/>
        <w:numPr>
          <w:ilvl w:val="0"/>
          <w:numId w:val="3"/>
        </w:numPr>
        <w:spacing w:after="60" w:line="276"/>
      </w:pPr>
      <w:r>
        <w:rPr>
          <w:rFonts w:ascii="Aptos" w:cs="Aptos" w:eastAsia="Aptos" w:hAnsi="Aptos"/>
          <w:sz w:val="21"/>
          <w:szCs w:val="21"/>
        </w:rPr>
        <w:t xml:space="preserve">It serves an unlimited audience. The NEPRA notice serves 87 named companies who already have the message on paper, in their hands.</w:t>
      </w:r>
    </w:p>
    <w:p>
      <w:pPr>
        <w:pStyle w:val="ListParagraph"/>
        <w:numPr>
          <w:ilvl w:val="0"/>
          <w:numId w:val="3"/>
        </w:numPr>
        <w:spacing w:after="60" w:line="276"/>
      </w:pPr>
      <w:r>
        <w:rPr>
          <w:rFonts w:ascii="Aptos" w:cs="Aptos" w:eastAsia="Aptos" w:hAnsi="Aptos"/>
          <w:sz w:val="21"/>
          <w:szCs w:val="21"/>
        </w:rPr>
        <w:t xml:space="preserve">It is permanent. The NEPRA notice is explicitly temporary. Deleting a permanent asset to house a temporary one means rebuilding it in a month.</w:t>
      </w:r>
    </w:p>
    <w:p>
      <w:pPr>
        <w:pStyle w:val="ListParagraph"/>
        <w:numPr>
          <w:ilvl w:val="0"/>
          <w:numId w:val="3"/>
        </w:numPr>
        <w:spacing w:after="60" w:line="276"/>
      </w:pPr>
      <w:r>
        <w:rPr>
          <w:rFonts w:ascii="Aptos" w:cs="Aptos" w:eastAsia="Aptos" w:hAnsi="Aptos"/>
          <w:sz w:val="21"/>
          <w:szCs w:val="21"/>
        </w:rPr>
        <w:t xml:space="preserve">The two do not compete for the same reader. A power-sector CEO who came from a letter is not going to be diverted by an AI readiness offer, and an AI buyer is not going to be put off by a NEPRA ribbon.</w:t>
      </w:r>
    </w:p>
    <w:p>
      <w:pPr>
        <w:pStyle w:val="ListParagraph"/>
        <w:numPr>
          <w:ilvl w:val="0"/>
          <w:numId w:val="3"/>
        </w:numPr>
        <w:spacing w:after="60" w:line="276"/>
      </w:pPr>
      <w:r>
        <w:rPr>
          <w:rFonts w:ascii="Aptos" w:cs="Aptos" w:eastAsia="Aptos" w:hAnsi="Aptos"/>
          <w:sz w:val="21"/>
          <w:szCs w:val="21"/>
        </w:rPr>
        <w:t xml:space="preserve">Losing the section also loses its internal link to the AI Security service page, which is a real, if small, SEO cost for nothing.</w:t>
      </w:r>
    </w:p>
    <w:p>
      <w:pPr>
        <w:pStyle w:val="Heading3"/>
        <w:spacing w:after="100" w:before="220"/>
      </w:pPr>
      <w:r>
        <w:rPr>
          <w:rFonts w:ascii="Aptos" w:cs="Aptos" w:eastAsia="Aptos" w:hAnsi="Aptos"/>
          <w:b/>
          <w:bCs/>
          <w:color w:val="1F6FEB"/>
          <w:sz w:val="22"/>
          <w:szCs w:val="22"/>
        </w:rPr>
        <w:t xml:space="preserve">What to do instead — three placements, all additive</w:t>
      </w:r>
    </w:p>
    <w:p>
      <w:pPr>
        <w:pStyle w:val="ListParagraph"/>
        <w:numPr>
          <w:ilvl w:val="0"/>
          <w:numId w:val="3"/>
        </w:numPr>
        <w:spacing w:after="60" w:line="276"/>
      </w:pPr>
      <w:r>
        <w:rPr>
          <w:rFonts w:ascii="Aptos" w:cs="Aptos" w:eastAsia="Aptos" w:hAnsi="Aptos"/>
          <w:b/>
          <w:bCs/>
          <w:sz w:val="21"/>
          <w:szCs w:val="21"/>
        </w:rPr>
        <w:t xml:space="preserve">A. Announcement ribbon (temporary). </w:t>
      </w:r>
      <w:r>
        <w:rPr>
          <w:rFonts w:ascii="Aptos" w:cs="Aptos" w:eastAsia="Aptos" w:hAnsi="Aptos"/>
          <w:sz w:val="21"/>
          <w:szCs w:val="21"/>
        </w:rPr>
        <w:t xml:space="preserve">Full-width strip directly beneath the navigation. Above the fold by construction. One component, deleted on day 30.</w:t>
      </w:r>
    </w:p>
    <w:p>
      <w:pPr>
        <w:pStyle w:val="ListParagraph"/>
        <w:numPr>
          <w:ilvl w:val="0"/>
          <w:numId w:val="3"/>
        </w:numPr>
        <w:spacing w:after="60" w:line="276"/>
      </w:pPr>
      <w:r>
        <w:rPr>
          <w:rFonts w:ascii="Aptos" w:cs="Aptos" w:eastAsia="Aptos" w:hAnsi="Aptos"/>
          <w:b/>
          <w:bCs/>
          <w:sz w:val="21"/>
          <w:szCs w:val="21"/>
        </w:rPr>
        <w:t xml:space="preserve">B. NEPRA band (permanent). </w:t>
      </w:r>
      <w:r>
        <w:rPr>
          <w:rFonts w:ascii="Aptos" w:cs="Aptos" w:eastAsia="Aptos" w:hAnsi="Aptos"/>
          <w:sz w:val="21"/>
          <w:szCs w:val="21"/>
        </w:rPr>
        <w:t xml:space="preserve">A clone of the AI Security band component, placed directly after it. Same layout, same styling, different content. This is what keeps working after the ribbon comes down.</w:t>
      </w:r>
    </w:p>
    <w:p>
      <w:pPr>
        <w:pStyle w:val="ListParagraph"/>
        <w:numPr>
          <w:ilvl w:val="0"/>
          <w:numId w:val="3"/>
        </w:numPr>
        <w:spacing w:after="60" w:line="276"/>
      </w:pPr>
      <w:r>
        <w:rPr>
          <w:rFonts w:ascii="Aptos" w:cs="Aptos" w:eastAsia="Aptos" w:hAnsi="Aptos"/>
          <w:b/>
          <w:bCs/>
          <w:sz w:val="21"/>
          <w:szCs w:val="21"/>
        </w:rPr>
        <w:t xml:space="preserve">C. Capability-grid chip (permanent). </w:t>
      </w:r>
      <w:r>
        <w:rPr>
          <w:rFonts w:ascii="Aptos" w:cs="Aptos" w:eastAsia="Aptos" w:hAnsi="Aptos"/>
          <w:sz w:val="21"/>
          <w:szCs w:val="21"/>
        </w:rPr>
        <w:t xml:space="preserve">The AI Security card in “Our Core AI &amp; Data Capabilities” already lists “AI Security Services · Cyber Security Services”. Add “NEPRA IT/OT Compliance”. A five-minute change, and it is the most durable of the three.</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r>
              <w:rPr>
                <w:rFonts w:ascii="Aptos" w:cs="Aptos" w:eastAsia="Aptos" w:hAnsi="Aptos"/>
                <w:b/>
                <w:bCs/>
                <w:sz w:val="20"/>
                <w:szCs w:val="20"/>
              </w:rPr>
              <w:t xml:space="preserve">On “big and bold on the banner so no one has to scroll”: </w:t>
            </w:r>
            <w:r>
              <w:rPr>
                <w:rFonts w:ascii="Aptos" w:cs="Aptos" w:eastAsia="Aptos" w:hAnsi="Aptos"/>
                <w:sz w:val="20"/>
                <w:szCs w:val="20"/>
              </w:rPr>
              <w:t xml:space="preserve">the ribbon satisfies this literally — it sits above the hero headline, so it is the first thing on the page. If that still reads as too quiet, section 3 gives a second, louder variant (a hero eyebrow badge) that can run alongside it. What I would not do is rewrite the hero H1 to be about NEPRA: the homepage H1 is the single strongest SEO signal the site has, and pointing it at a 30-day campaign for 87 companies would be an expensive way to make a temporary point.</w:t>
            </w:r>
          </w:p>
        </w:tc>
      </w:tr>
    </w:tbl>
    <w:p>
      <w:r>
        <w:br w:type="page"/>
      </w:r>
    </w:p>
    <w:p>
      <w:pPr>
        <w:pStyle w:val="Heading1"/>
        <w:spacing w:after="160" w:before="360"/>
      </w:pPr>
      <w:r>
        <w:rPr>
          <w:rFonts w:ascii="Aptos" w:cs="Aptos" w:eastAsia="Aptos" w:hAnsi="Aptos"/>
          <w:b/>
          <w:bCs/>
          <w:color w:val="0A1B3D"/>
          <w:sz w:val="32"/>
          <w:szCs w:val="32"/>
        </w:rPr>
        <w:t xml:space="preserve">3. Homepage copy</w:t>
      </w:r>
    </w:p>
    <w:p>
      <w:pPr>
        <w:pStyle w:val="Heading2"/>
        <w:spacing w:after="120" w:before="300"/>
      </w:pPr>
      <w:r>
        <w:rPr>
          <w:rFonts w:ascii="Aptos" w:cs="Aptos" w:eastAsia="Aptos" w:hAnsi="Aptos"/>
          <w:b/>
          <w:bCs/>
          <w:color w:val="0A1B3D"/>
          <w:sz w:val="26"/>
          <w:szCs w:val="26"/>
        </w:rPr>
        <w:t xml:space="preserve">3A. Announcement ribbon — temporary, remove on day 30</w:t>
      </w:r>
    </w:p>
    <w:p>
      <w:pPr>
        <w:spacing w:after="120" w:line="276"/>
      </w:pPr>
      <w:r>
        <w:rPr>
          <w:rFonts w:ascii="Aptos" w:cs="Aptos" w:eastAsia="Aptos" w:hAnsi="Aptos"/>
          <w:sz w:val="21"/>
          <w:szCs w:val="21"/>
        </w:rPr>
        <w:t xml:space="preserve">Full-width strip immediately below the navigation bar. One line on desktop, two on mobile. The whole strip is one link.</w:t>
      </w:r>
    </w:p>
    <w:p>
      <w:pPr>
        <w:spacing w:after="60" w:before="200"/>
      </w:pPr>
      <w:r>
        <w:rPr>
          <w:rFonts w:ascii="Aptos" w:cs="Aptos" w:eastAsia="Aptos" w:hAnsi="Aptos"/>
          <w:b/>
          <w:bCs/>
          <w:color w:val="0E9A8D"/>
          <w:spacing w:val="40"/>
          <w:sz w:val="16"/>
          <w:szCs w:val="16"/>
        </w:rPr>
        <w:t xml:space="preserve">OPTION A1 — RECOMMENDED</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RIBBON COPY</w:t>
            </w:r>
          </w:p>
          <w:p>
            <w:pPr>
              <w:spacing w:after="40" w:before="100"/>
            </w:pPr>
            <w:r>
              <w:rPr>
                <w:rFonts w:ascii="Aptos" w:cs="Aptos" w:eastAsia="Aptos" w:hAnsi="Aptos"/>
                <w:b/>
                <w:bCs/>
                <w:color w:val="0E9A8D"/>
                <w:spacing w:val="20"/>
                <w:sz w:val="17"/>
                <w:szCs w:val="17"/>
              </w:rPr>
              <w:t xml:space="preserve">⚡ NEPRA COMPLIANCE</w:t>
            </w:r>
          </w:p>
          <w:p>
            <w:pPr>
              <w:spacing w:after="60"/>
            </w:pPr>
            <w:r>
              <w:rPr>
                <w:rFonts w:ascii="Aptos" w:cs="Aptos" w:eastAsia="Aptos" w:hAnsi="Aptos"/>
                <w:sz w:val="20"/>
                <w:szCs w:val="20"/>
              </w:rPr>
              <w:t xml:space="preserve">xLoop is a NEPRA IT/OT regulatory compliance specialist for Pakistan’s power sector.</w:t>
            </w:r>
          </w:p>
          <w:p>
            <w:pPr>
              <w:spacing w:after="40" w:before="80"/>
            </w:pPr>
            <w:r>
              <w:rPr>
                <w:rFonts w:ascii="Aptos" w:cs="Aptos" w:eastAsia="Aptos" w:hAnsi="Aptos"/>
                <w:b/>
                <w:bCs/>
                <w:color w:val="1F6FEB"/>
                <w:sz w:val="20"/>
                <w:szCs w:val="20"/>
              </w:rPr>
              <w:t xml:space="preserve">[ See our NEPRA services → ]</w:t>
            </w:r>
          </w:p>
        </w:tc>
      </w:tr>
    </w:tbl>
    <w:p>
      <w:pPr>
        <w:spacing w:after="120" w:line="276"/>
      </w:pPr>
      <w:r>
        <w:rPr>
          <w:rFonts w:ascii="Aptos" w:cs="Aptos" w:eastAsia="Aptos" w:hAnsi="Aptos"/>
          <w:b/>
          <w:bCs/>
          <w:sz w:val="21"/>
          <w:szCs w:val="21"/>
        </w:rPr>
        <w:t xml:space="preserve">Mobile (under 640px), shortened: </w:t>
      </w:r>
      <w:r>
        <w:rPr>
          <w:rFonts w:ascii="Aptos" w:cs="Aptos" w:eastAsia="Aptos" w:hAnsi="Aptos"/>
          <w:sz w:val="21"/>
          <w:szCs w:val="21"/>
        </w:rPr>
        <w:t xml:space="preserve">“NEPRA IT/OT compliance for power-sector licensees →”</w:t>
      </w:r>
    </w:p>
    <w:p>
      <w:pPr>
        <w:spacing w:after="60" w:before="200"/>
      </w:pPr>
      <w:r>
        <w:rPr>
          <w:rFonts w:ascii="Aptos" w:cs="Aptos" w:eastAsia="Aptos" w:hAnsi="Aptos"/>
          <w:b/>
          <w:bCs/>
          <w:color w:val="0E9A8D"/>
          <w:spacing w:val="40"/>
          <w:sz w:val="16"/>
          <w:szCs w:val="16"/>
        </w:rPr>
        <w:t xml:space="preserve">OPTION A2 — LOUDER, IF A1 IS JUDGED TOO SUBTLE</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RIBBON COPY</w:t>
            </w:r>
          </w:p>
          <w:p>
            <w:pPr>
              <w:spacing w:after="40" w:before="100"/>
            </w:pPr>
            <w:r>
              <w:rPr>
                <w:rFonts w:ascii="Aptos" w:cs="Aptos" w:eastAsia="Aptos" w:hAnsi="Aptos"/>
                <w:b/>
                <w:bCs/>
                <w:color w:val="0E9A8D"/>
                <w:spacing w:val="20"/>
                <w:sz w:val="17"/>
                <w:szCs w:val="17"/>
              </w:rPr>
              <w:t xml:space="preserve">⚡ NEPRA COMPLIANCE</w:t>
            </w:r>
          </w:p>
          <w:p>
            <w:pPr>
              <w:spacing w:after="60"/>
            </w:pPr>
            <w:r>
              <w:rPr>
                <w:rFonts w:ascii="Aptos" w:cs="Aptos" w:eastAsia="Aptos" w:hAnsi="Aptos"/>
                <w:sz w:val="20"/>
                <w:szCs w:val="20"/>
              </w:rPr>
              <w:t xml:space="preserve">Every NEPRA licensee must comply with the IT/OT Security Regulations, 2022. We audit, test and certify readiness.</w:t>
            </w:r>
          </w:p>
          <w:p>
            <w:pPr>
              <w:spacing w:after="40" w:before="80"/>
            </w:pPr>
            <w:r>
              <w:rPr>
                <w:rFonts w:ascii="Aptos" w:cs="Aptos" w:eastAsia="Aptos" w:hAnsi="Aptos"/>
                <w:b/>
                <w:bCs/>
                <w:color w:val="1F6FEB"/>
                <w:sz w:val="20"/>
                <w:szCs w:val="20"/>
              </w:rPr>
              <w:t xml:space="preserve">[ See our NEPRA services → ]</w:t>
            </w:r>
          </w:p>
        </w:tc>
      </w:tr>
    </w:tbl>
    <w:p>
      <w:pPr>
        <w:spacing w:after="60" w:before="200"/>
      </w:pPr>
      <w:r>
        <w:rPr>
          <w:rFonts w:ascii="Aptos" w:cs="Aptos" w:eastAsia="Aptos" w:hAnsi="Aptos"/>
          <w:b/>
          <w:bCs/>
          <w:color w:val="0E9A8D"/>
          <w:spacing w:val="40"/>
          <w:sz w:val="16"/>
          <w:szCs w:val="16"/>
        </w:rPr>
        <w:t xml:space="preserve">OPTION A3 — HERO EYEBROW BADGE, RUNS ALONGSIDE A1</w:t>
      </w:r>
    </w:p>
    <w:p>
      <w:pPr>
        <w:spacing w:after="120" w:line="276"/>
      </w:pPr>
      <w:r>
        <w:rPr>
          <w:rFonts w:ascii="Aptos" w:cs="Aptos" w:eastAsia="Aptos" w:hAnsi="Aptos"/>
          <w:sz w:val="21"/>
          <w:szCs w:val="21"/>
        </w:rPr>
        <w:t xml:space="preserve">A small pill sitting directly above the existing hero headline, in the same position the design already uses for its uppercase micro-labels. Does not touch the H1.</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BADGE COPY</w:t>
            </w:r>
          </w:p>
          <w:p>
            <w:pPr>
              <w:spacing w:after="40" w:before="100"/>
            </w:pPr>
            <w:r>
              <w:rPr>
                <w:rFonts w:ascii="Aptos" w:cs="Aptos" w:eastAsia="Aptos" w:hAnsi="Aptos"/>
                <w:b/>
                <w:bCs/>
                <w:color w:val="0E9A8D"/>
                <w:spacing w:val="20"/>
                <w:sz w:val="17"/>
                <w:szCs w:val="17"/>
              </w:rPr>
              <w:t xml:space="preserve">⚡ NEPRA IT/OT COMPLIANCE SPECIALISTS</w:t>
            </w:r>
          </w:p>
        </w:tc>
      </w:tr>
    </w:tbl>
    <w:p>
      <w:pPr>
        <w:pBdr>
          <w:bottom w:val="single" w:color="D5DCE6" w:sz="6"/>
        </w:pBdr>
        <w:spacing w:after="120" w:before="120"/>
      </w:pPr>
      <w:r>
        <w:rPr>
          <w:rFonts w:ascii="Aptos" w:cs="Aptos" w:eastAsia="Aptos" w:hAnsi="Aptos"/>
          <w:sz w:val="21"/>
          <w:szCs w:val="21"/>
        </w:rPr>
        <w:t xml:space="preserve"/>
      </w:r>
    </w:p>
    <w:p>
      <w:pPr>
        <w:pStyle w:val="Heading2"/>
        <w:spacing w:after="120" w:before="300"/>
      </w:pPr>
      <w:r>
        <w:rPr>
          <w:rFonts w:ascii="Aptos" w:cs="Aptos" w:eastAsia="Aptos" w:hAnsi="Aptos"/>
          <w:b/>
          <w:bCs/>
          <w:color w:val="0A1B3D"/>
          <w:sz w:val="26"/>
          <w:szCs w:val="26"/>
        </w:rPr>
        <w:t xml:space="preserve">3B. NEPRA band — permanent</w:t>
      </w:r>
    </w:p>
    <w:p>
      <w:pPr>
        <w:spacing w:after="120" w:line="276"/>
      </w:pPr>
      <w:r>
        <w:rPr>
          <w:rFonts w:ascii="Aptos" w:cs="Aptos" w:eastAsia="Aptos" w:hAnsi="Aptos"/>
          <w:sz w:val="21"/>
          <w:szCs w:val="21"/>
        </w:rPr>
        <w:t xml:space="preserve">Built from the same component as the AI Security band: uppercase micro-label, two-tone headline (white then blue), one supporting sentence, outlined pill button, a quieter secondary line, and an image on the right.</w:t>
      </w:r>
    </w:p>
    <w:p>
      <w:pPr>
        <w:spacing w:after="60" w:before="200"/>
      </w:pPr>
      <w:r>
        <w:rPr>
          <w:rFonts w:ascii="Aptos" w:cs="Aptos" w:eastAsia="Aptos" w:hAnsi="Aptos"/>
          <w:b/>
          <w:bCs/>
          <w:color w:val="0E9A8D"/>
          <w:spacing w:val="40"/>
          <w:sz w:val="16"/>
          <w:szCs w:val="16"/>
        </w:rPr>
        <w:t xml:space="preserve">OPTION B1 — RECOMMENDED, STAT-LED TO MIRROR THE AI SECURITY BAND</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BAND COPY</w:t>
            </w:r>
          </w:p>
          <w:p>
            <w:pPr>
              <w:spacing w:after="40" w:before="100"/>
            </w:pPr>
            <w:r>
              <w:rPr>
                <w:rFonts w:ascii="Aptos" w:cs="Aptos" w:eastAsia="Aptos" w:hAnsi="Aptos"/>
                <w:b/>
                <w:bCs/>
                <w:color w:val="0E9A8D"/>
                <w:spacing w:val="20"/>
                <w:sz w:val="17"/>
                <w:szCs w:val="17"/>
              </w:rPr>
              <w:t xml:space="preserve">— NEPRA COMPLIANCE</w:t>
            </w:r>
          </w:p>
          <w:p>
            <w:pPr>
              <w:spacing w:after="60"/>
            </w:pPr>
            <w:r>
              <w:rPr>
                <w:rFonts w:ascii="Aptos" w:cs="Aptos" w:eastAsia="Aptos" w:hAnsi="Aptos"/>
                <w:b/>
                <w:bCs/>
                <w:color w:val="0A1B3D"/>
                <w:sz w:val="24"/>
                <w:szCs w:val="24"/>
              </w:rPr>
              <w:t xml:space="preserve">72 Hours. That’s All You Get to Report a Significant Cyber Incident to NEPRA.</w:t>
            </w:r>
          </w:p>
          <w:p>
            <w:pPr>
              <w:spacing w:after="60"/>
            </w:pPr>
            <w:r>
              <w:rPr>
                <w:rFonts w:ascii="Aptos" w:cs="Aptos" w:eastAsia="Aptos" w:hAnsi="Aptos"/>
                <w:b/>
                <w:bCs/>
                <w:color w:val="1F6FEB"/>
                <w:sz w:val="24"/>
                <w:szCs w:val="24"/>
              </w:rPr>
              <w:t xml:space="preserve">Could You Make That Deadline?</w:t>
            </w:r>
          </w:p>
          <w:p>
            <w:pPr>
              <w:spacing w:after="60"/>
            </w:pPr>
            <w:r>
              <w:rPr>
                <w:rFonts w:ascii="Aptos" w:cs="Aptos" w:eastAsia="Aptos" w:hAnsi="Aptos"/>
                <w:sz w:val="20"/>
                <w:szCs w:val="20"/>
              </w:rPr>
              <w:t xml:space="preserve">The Security of IT &amp; OT Regulations, 2022 bind every NEPRA licensee — generation, transmission and distribution. We audit your IT and OT estate clause by clause against Regulations 4 to 11, and hand you the evidence file to prove it.</w:t>
            </w:r>
          </w:p>
          <w:p>
            <w:pPr>
              <w:spacing w:after="40" w:before="80"/>
            </w:pPr>
            <w:r>
              <w:rPr>
                <w:rFonts w:ascii="Aptos" w:cs="Aptos" w:eastAsia="Aptos" w:hAnsi="Aptos"/>
                <w:b/>
                <w:bCs/>
                <w:color w:val="1F6FEB"/>
                <w:sz w:val="20"/>
                <w:szCs w:val="20"/>
              </w:rPr>
              <w:t xml:space="preserve">[ See NEPRA Compliance Services → ]</w:t>
            </w:r>
          </w:p>
          <w:p>
            <w:pPr>
              <w:spacing w:after="40"/>
            </w:pPr>
            <w:r>
              <w:rPr>
                <w:rFonts w:ascii="Aptos" w:cs="Aptos" w:eastAsia="Aptos" w:hAnsi="Aptos"/>
                <w:color w:val="5A6472"/>
                <w:sz w:val="18"/>
                <w:szCs w:val="18"/>
              </w:rPr>
              <w:t xml:space="preserve">Already been directed to audit? Call +92 21 3586 9200 →</w:t>
            </w:r>
          </w:p>
        </w:tc>
      </w:tr>
    </w:tbl>
    <w:tbl>
      <w:tblPr>
        <w:tblW w:type="dxa" w:w="9026"/>
        <w:tblBorders>
          <w:top w:val="single" w:color="FFF4E5" w:sz="2"/>
          <w:left w:val="single" w:color="F59E0B" w:sz="18"/>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60"/>
              <w:left w:type="dxa" w:w="220"/>
              <w:bottom w:type="dxa" w:w="160"/>
              <w:right w:type="dxa" w:w="220"/>
            </w:tcMar>
          </w:tcPr>
          <w:p>
            <w:r>
              <w:rPr>
                <w:rFonts w:ascii="Aptos" w:cs="Aptos" w:eastAsia="Aptos" w:hAnsi="Aptos"/>
                <w:b/>
                <w:bCs/>
                <w:color w:val="B45309"/>
                <w:sz w:val="17"/>
                <w:szCs w:val="17"/>
              </w:rPr>
              <w:t xml:space="preserve">VERIFY BEFORE PUBLISHING  </w:t>
            </w:r>
            <w:r>
              <w:rPr>
                <w:rFonts w:ascii="Aptos" w:cs="Aptos" w:eastAsia="Aptos" w:hAnsi="Aptos"/>
                <w:sz w:val="20"/>
                <w:szCs w:val="20"/>
              </w:rPr>
              <w:t xml:space="preserve">The 72-hour figure comes from your own ACT Wind proposal (Regulation 11: “72-hour reporting of significant incidents”). Confirm it against the gazetted text before it goes on a public page — it is the load-bearing claim in this headline.</w:t>
            </w:r>
          </w:p>
        </w:tc>
      </w:tr>
    </w:tbl>
    <w:p>
      <w:pPr>
        <w:spacing w:after="60" w:before="200"/>
      </w:pPr>
      <w:r>
        <w:rPr>
          <w:rFonts w:ascii="Aptos" w:cs="Aptos" w:eastAsia="Aptos" w:hAnsi="Aptos"/>
          <w:b/>
          <w:bCs/>
          <w:color w:val="0E9A8D"/>
          <w:spacing w:val="40"/>
          <w:sz w:val="16"/>
          <w:szCs w:val="16"/>
        </w:rPr>
        <w:t xml:space="preserve">OPTION B2 — OBLIGATION-LED, IF THE STAT CANNOT BE CONFIRMED</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BAND COPY</w:t>
            </w:r>
          </w:p>
          <w:p>
            <w:pPr>
              <w:spacing w:after="40" w:before="100"/>
            </w:pPr>
            <w:r>
              <w:rPr>
                <w:rFonts w:ascii="Aptos" w:cs="Aptos" w:eastAsia="Aptos" w:hAnsi="Aptos"/>
                <w:b/>
                <w:bCs/>
                <w:color w:val="0E9A8D"/>
                <w:spacing w:val="20"/>
                <w:sz w:val="17"/>
                <w:szCs w:val="17"/>
              </w:rPr>
              <w:t xml:space="preserve">— NEPRA COMPLIANCE</w:t>
            </w:r>
          </w:p>
          <w:p>
            <w:pPr>
              <w:spacing w:after="60"/>
            </w:pPr>
            <w:r>
              <w:rPr>
                <w:rFonts w:ascii="Aptos" w:cs="Aptos" w:eastAsia="Aptos" w:hAnsi="Aptos"/>
                <w:b/>
                <w:bCs/>
                <w:color w:val="0A1B3D"/>
                <w:sz w:val="24"/>
                <w:szCs w:val="24"/>
              </w:rPr>
              <w:t xml:space="preserve">Every Power-Sector Licensee in Pakistan Has an IT/OT Security Obligation.</w:t>
            </w:r>
          </w:p>
          <w:p>
            <w:pPr>
              <w:spacing w:after="60"/>
            </w:pPr>
            <w:r>
              <w:rPr>
                <w:rFonts w:ascii="Aptos" w:cs="Aptos" w:eastAsia="Aptos" w:hAnsi="Aptos"/>
                <w:b/>
                <w:bCs/>
                <w:color w:val="1F6FEB"/>
                <w:sz w:val="24"/>
                <w:szCs w:val="24"/>
              </w:rPr>
              <w:t xml:space="preserve">Can You Evidence Yours?</w:t>
            </w:r>
          </w:p>
          <w:p>
            <w:pPr>
              <w:spacing w:after="60"/>
            </w:pPr>
            <w:r>
              <w:rPr>
                <w:rFonts w:ascii="Aptos" w:cs="Aptos" w:eastAsia="Aptos" w:hAnsi="Aptos"/>
                <w:sz w:val="20"/>
                <w:szCs w:val="20"/>
              </w:rPr>
              <w:t xml:space="preserve">NEPRA can direct a technical audit of your IT and OT systems at any time. We assess you against Regulations 4 to 11, test what is exposed, close the policy gaps, and leave you with an audit file that stands up.</w:t>
            </w:r>
          </w:p>
          <w:p>
            <w:pPr>
              <w:spacing w:after="40" w:before="80"/>
            </w:pPr>
            <w:r>
              <w:rPr>
                <w:rFonts w:ascii="Aptos" w:cs="Aptos" w:eastAsia="Aptos" w:hAnsi="Aptos"/>
                <w:b/>
                <w:bCs/>
                <w:color w:val="1F6FEB"/>
                <w:sz w:val="20"/>
                <w:szCs w:val="20"/>
              </w:rPr>
              <w:t xml:space="preserve">[ See NEPRA Compliance Services → ]</w:t>
            </w:r>
          </w:p>
          <w:p>
            <w:pPr>
              <w:spacing w:after="40"/>
            </w:pPr>
            <w:r>
              <w:rPr>
                <w:rFonts w:ascii="Aptos" w:cs="Aptos" w:eastAsia="Aptos" w:hAnsi="Aptos"/>
                <w:color w:val="5A6472"/>
                <w:sz w:val="18"/>
                <w:szCs w:val="18"/>
              </w:rPr>
              <w:t xml:space="preserve">Already been directed to audit? Call +92 21 3586 9200 →</w:t>
            </w:r>
          </w:p>
        </w:tc>
      </w:tr>
    </w:tbl>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r>
              <w:rPr>
                <w:rFonts w:ascii="Aptos" w:cs="Aptos" w:eastAsia="Aptos" w:hAnsi="Aptos"/>
                <w:b/>
                <w:bCs/>
                <w:sz w:val="20"/>
                <w:szCs w:val="20"/>
              </w:rPr>
              <w:t xml:space="preserve">A note on why there is no invented statistic here. </w:t>
            </w:r>
            <w:r>
              <w:rPr>
                <w:rFonts w:ascii="Aptos" w:cs="Aptos" w:eastAsia="Aptos" w:hAnsi="Aptos"/>
                <w:sz w:val="20"/>
                <w:szCs w:val="20"/>
              </w:rPr>
              <w:t xml:space="preserve">The obvious move would be a line like “87% of Pakistani power companies are non-compliant”. There is no such published figure, and the readers of this page are the very people who would know that. The 72-hour deadline works better precisely because it is checkable.</w:t>
            </w:r>
          </w:p>
        </w:tc>
      </w:tr>
    </w:tbl>
    <w:p>
      <w:pPr>
        <w:pBdr>
          <w:bottom w:val="single" w:color="D5DCE6" w:sz="6"/>
        </w:pBdr>
        <w:spacing w:after="120" w:before="120"/>
      </w:pPr>
      <w:r>
        <w:rPr>
          <w:rFonts w:ascii="Aptos" w:cs="Aptos" w:eastAsia="Aptos" w:hAnsi="Aptos"/>
          <w:sz w:val="21"/>
          <w:szCs w:val="21"/>
        </w:rPr>
        <w:t xml:space="preserve"/>
      </w:r>
    </w:p>
    <w:p>
      <w:pPr>
        <w:pStyle w:val="Heading2"/>
        <w:spacing w:after="120" w:before="300"/>
      </w:pPr>
      <w:r>
        <w:rPr>
          <w:rFonts w:ascii="Aptos" w:cs="Aptos" w:eastAsia="Aptos" w:hAnsi="Aptos"/>
          <w:b/>
          <w:bCs/>
          <w:color w:val="0A1B3D"/>
          <w:sz w:val="26"/>
          <w:szCs w:val="26"/>
        </w:rPr>
        <w:t xml:space="preserve">3C. Capability-grid chip — permanent, one line</w:t>
      </w:r>
    </w:p>
    <w:p>
      <w:pPr>
        <w:spacing w:after="120" w:line="276"/>
      </w:pPr>
      <w:r>
        <w:rPr>
          <w:rFonts w:ascii="Aptos" w:cs="Aptos" w:eastAsia="Aptos" w:hAnsi="Aptos"/>
          <w:sz w:val="21"/>
          <w:szCs w:val="21"/>
        </w:rPr>
        <w:t xml:space="preserve">In the “Our Core AI &amp; Data Capabilities” grid, the AI Security card carries a small service list. Extend it:</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BEFORE / AFTER</w:t>
            </w:r>
          </w:p>
          <w:p>
            <w:pPr>
              <w:spacing w:after="40"/>
            </w:pPr>
            <w:r>
              <w:rPr>
                <w:rFonts w:ascii="Aptos" w:cs="Aptos" w:eastAsia="Aptos" w:hAnsi="Aptos"/>
                <w:color w:val="5A6472"/>
                <w:sz w:val="18"/>
                <w:szCs w:val="18"/>
              </w:rPr>
              <w:t xml:space="preserve">Currently:  AI Security Services · Cyber Security Services</w:t>
            </w:r>
          </w:p>
          <w:p>
            <w:pPr>
              <w:spacing w:after="60"/>
            </w:pPr>
            <w:r>
              <w:rPr>
                <w:rFonts w:ascii="Aptos" w:cs="Aptos" w:eastAsia="Aptos" w:hAnsi="Aptos"/>
                <w:sz w:val="20"/>
                <w:szCs w:val="20"/>
              </w:rPr>
              <w:t xml:space="preserve">Change to:  AI Security Services · Cyber Security Services · NEPRA IT/OT Compliance</w:t>
            </w:r>
          </w:p>
        </w:tc>
      </w:tr>
    </w:tbl>
    <w:p>
      <w:pPr>
        <w:spacing w:after="120" w:line="276"/>
      </w:pPr>
      <w:r>
        <w:rPr>
          <w:rFonts w:ascii="Aptos" w:cs="Aptos" w:eastAsia="Aptos" w:hAnsi="Aptos"/>
          <w:sz w:val="21"/>
          <w:szCs w:val="21"/>
        </w:rPr>
        <w:t xml:space="preserve">Optionally also widen the card description, which currently reads “Red teaming, audits, and monitoring built for AI systems, not just traditional IT.”:</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CARD DESCRIPTION — OPTIONAL REVISION</w:t>
            </w:r>
          </w:p>
          <w:p>
            <w:pPr>
              <w:spacing w:after="60"/>
            </w:pPr>
            <w:r>
              <w:rPr>
                <w:rFonts w:ascii="Aptos" w:cs="Aptos" w:eastAsia="Aptos" w:hAnsi="Aptos"/>
                <w:sz w:val="20"/>
                <w:szCs w:val="20"/>
              </w:rPr>
              <w:t xml:space="preserve">Red teaming, audits and monitoring for AI, enterprise IT and industrial OT — including NEPRA regulatory compliance.</w:t>
            </w:r>
          </w:p>
        </w:tc>
      </w:tr>
    </w:tbl>
    <w:p>
      <w:r>
        <w:br w:type="page"/>
      </w:r>
    </w:p>
    <w:p>
      <w:pPr>
        <w:pStyle w:val="Heading1"/>
        <w:spacing w:after="160" w:before="360"/>
      </w:pPr>
      <w:r>
        <w:rPr>
          <w:rFonts w:ascii="Aptos" w:cs="Aptos" w:eastAsia="Aptos" w:hAnsi="Aptos"/>
          <w:b/>
          <w:bCs/>
          <w:color w:val="0A1B3D"/>
          <w:sz w:val="32"/>
          <w:szCs w:val="32"/>
        </w:rPr>
        <w:t xml:space="preserve">4. NEPRA landing page copy</w:t>
      </w:r>
    </w:p>
    <w:p>
      <w:pPr>
        <w:spacing w:after="120" w:line="276"/>
      </w:pPr>
      <w:r>
        <w:rPr>
          <w:rFonts w:ascii="Aptos" w:cs="Aptos" w:eastAsia="Aptos" w:hAnsi="Aptos"/>
          <w:b/>
          <w:bCs/>
          <w:sz w:val="21"/>
          <w:szCs w:val="21"/>
        </w:rPr>
        <w:t xml:space="preserve">Suggested URL: </w:t>
      </w:r>
      <w:r>
        <w:rPr>
          <w:rFonts w:ascii="Aptos" w:cs="Aptos" w:eastAsia="Aptos" w:hAnsi="Aptos"/>
          <w:b/>
          <w:bCs/>
          <w:color w:val="1F6FEB"/>
          <w:sz w:val="21"/>
          <w:szCs w:val="21"/>
        </w:rPr>
        <w:t xml:space="preserve">/services/nepra-it-ot-compliance</w:t>
      </w:r>
      <w:r>
        <w:rPr>
          <w:rFonts w:ascii="Aptos" w:cs="Aptos" w:eastAsia="Aptos" w:hAnsi="Aptos"/>
          <w:sz w:val="21"/>
          <w:szCs w:val="21"/>
        </w:rPr>
        <w:t xml:space="preserve">  — matches the existing /services/cyber-security-service pattern already on the site.</w:t>
      </w:r>
    </w:p>
    <w:p>
      <w:pPr>
        <w:pStyle w:val="Heading2"/>
        <w:spacing w:after="120" w:before="300"/>
      </w:pPr>
      <w:r>
        <w:rPr>
          <w:rFonts w:ascii="Aptos" w:cs="Aptos" w:eastAsia="Aptos" w:hAnsi="Aptos"/>
          <w:b/>
          <w:bCs/>
          <w:color w:val="0A1B3D"/>
          <w:sz w:val="26"/>
          <w:szCs w:val="26"/>
        </w:rPr>
        <w:t xml:space="preserve">4.1 Recipient acknowledgement — small line above the H1</w:t>
      </w:r>
    </w:p>
    <w:p>
      <w:pPr>
        <w:spacing w:after="120" w:line="276"/>
      </w:pPr>
      <w:r>
        <w:rPr>
          <w:rFonts w:ascii="Aptos" w:cs="Aptos" w:eastAsia="Aptos" w:hAnsi="Aptos"/>
          <w:sz w:val="21"/>
          <w:szCs w:val="21"/>
        </w:rPr>
        <w:t xml:space="preserve">87 people were sent a physical letter. Telling them they have arrived at the right place costs one line and materially raises the chance they keep reading.</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ACKNOWLEDGEMENT</w:t>
            </w:r>
          </w:p>
          <w:p>
            <w:pPr>
              <w:spacing w:after="40"/>
            </w:pPr>
            <w:r>
              <w:rPr>
                <w:rFonts w:ascii="Aptos" w:cs="Aptos" w:eastAsia="Aptos" w:hAnsi="Aptos"/>
                <w:color w:val="5A6472"/>
                <w:sz w:val="18"/>
                <w:szCs w:val="18"/>
              </w:rPr>
              <w:t xml:space="preserve">Received our letter? You’re in the right place.</w:t>
            </w:r>
          </w:p>
        </w:tc>
      </w:tr>
    </w:tbl>
    <w:p>
      <w:pPr>
        <w:pStyle w:val="Heading2"/>
        <w:spacing w:after="120" w:before="300"/>
      </w:pPr>
      <w:r>
        <w:rPr>
          <w:rFonts w:ascii="Aptos" w:cs="Aptos" w:eastAsia="Aptos" w:hAnsi="Aptos"/>
          <w:b/>
          <w:bCs/>
          <w:color w:val="0A1B3D"/>
          <w:sz w:val="26"/>
          <w:szCs w:val="26"/>
        </w:rPr>
        <w:t xml:space="preserve">4.2 Hero</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HERO</w:t>
            </w:r>
          </w:p>
          <w:p>
            <w:pPr>
              <w:spacing w:after="40" w:before="100"/>
            </w:pPr>
            <w:r>
              <w:rPr>
                <w:rFonts w:ascii="Aptos" w:cs="Aptos" w:eastAsia="Aptos" w:hAnsi="Aptos"/>
                <w:b/>
                <w:bCs/>
                <w:color w:val="0E9A8D"/>
                <w:spacing w:val="20"/>
                <w:sz w:val="17"/>
                <w:szCs w:val="17"/>
              </w:rPr>
              <w:t xml:space="preserve">POWER ⚡ SECURE</w:t>
            </w:r>
          </w:p>
          <w:p>
            <w:pPr>
              <w:spacing w:after="60"/>
            </w:pPr>
            <w:r>
              <w:rPr>
                <w:rFonts w:ascii="Aptos" w:cs="Aptos" w:eastAsia="Aptos" w:hAnsi="Aptos"/>
                <w:b/>
                <w:bCs/>
                <w:color w:val="0A1B3D"/>
                <w:sz w:val="24"/>
                <w:szCs w:val="24"/>
              </w:rPr>
              <w:t xml:space="preserve">NEPRA IT/OT Regulatory Compliance Services</w:t>
            </w:r>
          </w:p>
          <w:p>
            <w:pPr>
              <w:spacing w:after="60"/>
            </w:pPr>
            <w:r>
              <w:rPr>
                <w:rFonts w:ascii="Aptos" w:cs="Aptos" w:eastAsia="Aptos" w:hAnsi="Aptos"/>
                <w:sz w:val="20"/>
                <w:szCs w:val="20"/>
              </w:rPr>
              <w:t xml:space="preserve">A complete cybersecurity and compliance programme for Pakistan’s power sector, built around the Security of Information Technology &amp; Operational Technology Regulations, 2022.</w:t>
            </w:r>
          </w:p>
          <w:p>
            <w:pPr>
              <w:spacing w:after="40" w:before="80"/>
            </w:pPr>
            <w:r>
              <w:rPr>
                <w:rFonts w:ascii="Aptos" w:cs="Aptos" w:eastAsia="Aptos" w:hAnsi="Aptos"/>
                <w:b/>
                <w:bCs/>
                <w:color w:val="1F6FEB"/>
                <w:sz w:val="20"/>
                <w:szCs w:val="20"/>
              </w:rPr>
              <w:t xml:space="preserve">[ Book a scoping call → ]</w:t>
            </w:r>
          </w:p>
          <w:p>
            <w:pPr>
              <w:spacing w:after="40"/>
            </w:pPr>
            <w:r>
              <w:rPr>
                <w:rFonts w:ascii="Aptos" w:cs="Aptos" w:eastAsia="Aptos" w:hAnsi="Aptos"/>
                <w:color w:val="5A6472"/>
                <w:sz w:val="18"/>
                <w:szCs w:val="18"/>
              </w:rPr>
              <w:t xml:space="preserve">Or call +92 21 3586 9200  ·  xsecurity@xloopdigital.com</w:t>
            </w:r>
          </w:p>
        </w:tc>
      </w:tr>
    </w:tbl>
    <w:p>
      <w:pPr>
        <w:spacing w:after="120" w:line="276"/>
      </w:pPr>
      <w:r>
        <w:rPr>
          <w:rFonts w:ascii="Aptos" w:cs="Aptos" w:eastAsia="Aptos" w:hAnsi="Aptos"/>
          <w:sz w:val="21"/>
          <w:szCs w:val="21"/>
        </w:rPr>
        <w:t xml:space="preserve">The eyebrow deliberately reuses “POWER ⚡ SECURE” from the printed flyer — it is the visual handshake that tells a letter recipient this is the same thing they were sent.</w:t>
      </w:r>
    </w:p>
    <w:p>
      <w:pPr>
        <w:pStyle w:val="Heading2"/>
        <w:spacing w:after="120" w:before="300"/>
      </w:pPr>
      <w:r>
        <w:rPr>
          <w:rFonts w:ascii="Aptos" w:cs="Aptos" w:eastAsia="Aptos" w:hAnsi="Aptos"/>
          <w:b/>
          <w:bCs/>
          <w:color w:val="0A1B3D"/>
          <w:sz w:val="26"/>
          <w:szCs w:val="26"/>
        </w:rPr>
        <w:t xml:space="preserve">4.3 The obligation — why this page exists</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SECTION</w:t>
            </w:r>
          </w:p>
          <w:p>
            <w:pPr>
              <w:spacing w:after="60"/>
            </w:pPr>
            <w:r>
              <w:rPr>
                <w:rFonts w:ascii="Aptos" w:cs="Aptos" w:eastAsia="Aptos" w:hAnsi="Aptos"/>
                <w:b/>
                <w:bCs/>
                <w:color w:val="0A1B3D"/>
                <w:sz w:val="24"/>
                <w:szCs w:val="24"/>
              </w:rPr>
              <w:t xml:space="preserve">The regulations are already in force. The audits are not optional.</w:t>
            </w:r>
          </w:p>
          <w:p>
            <w:pPr>
              <w:spacing w:after="60"/>
            </w:pPr>
            <w:r>
              <w:rPr>
                <w:rFonts w:ascii="Aptos" w:cs="Aptos" w:eastAsia="Aptos" w:hAnsi="Aptos"/>
                <w:sz w:val="20"/>
                <w:szCs w:val="20"/>
              </w:rPr>
              <w:t xml:space="preserve">NEPRA’s Security of IT &amp; OT Regulations, 2022 apply to every licensee in generation, transmission and distribution. They are not guidance. They set out a full security lifecycle — governance, controls, risk assessment, monitoring, incident response, training and reporting — and they cover the plant floor as well as the corporate network: SCADA, DCS, PLCs, RTUs, IEDs, HMIs, engineering workstations and the links back to ISMO and the national grid.</w:t>
            </w:r>
          </w:p>
          <w:p>
            <w:pPr>
              <w:spacing w:after="60"/>
            </w:pPr>
            <w:r>
              <w:rPr>
                <w:rFonts w:ascii="Aptos" w:cs="Aptos" w:eastAsia="Aptos" w:hAnsi="Aptos"/>
                <w:sz w:val="20"/>
                <w:szCs w:val="20"/>
              </w:rPr>
              <w:t xml:space="preserve">Three things follow from that. NEPRA can direct a technical audit of your systems and expect evidence. Significant incidents must be reported within 72 hours, with quarterly reporting on top. And responsibility sits with a named cybersecurity lead inside your organisation, not with your OEM or your integrator.</w:t>
            </w:r>
          </w:p>
        </w:tc>
      </w:tr>
    </w:tbl>
    <w:tbl>
      <w:tblPr>
        <w:tblW w:type="dxa" w:w="9026"/>
        <w:tblBorders>
          <w:top w:val="single" w:color="FFF4E5" w:sz="2"/>
          <w:left w:val="single" w:color="F59E0B" w:sz="18"/>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60"/>
              <w:left w:type="dxa" w:w="220"/>
              <w:bottom w:type="dxa" w:w="160"/>
              <w:right w:type="dxa" w:w="220"/>
            </w:tcMar>
          </w:tcPr>
          <w:p>
            <w:r>
              <w:rPr>
                <w:rFonts w:ascii="Aptos" w:cs="Aptos" w:eastAsia="Aptos" w:hAnsi="Aptos"/>
                <w:b/>
                <w:bCs/>
                <w:color w:val="B45309"/>
                <w:sz w:val="17"/>
                <w:szCs w:val="17"/>
              </w:rPr>
              <w:t xml:space="preserve">VERIFY BEFORE PUBLISHING  </w:t>
            </w:r>
            <w:r>
              <w:rPr>
                <w:rFonts w:ascii="Aptos" w:cs="Aptos" w:eastAsia="Aptos" w:hAnsi="Aptos"/>
                <w:sz w:val="20"/>
                <w:szCs w:val="20"/>
              </w:rPr>
              <w:t xml:space="preserve">Confirm the exact gazetted short title of the instrument before publishing. Your proposal calls it the “Security of Information Technology &amp; Operational Technology Regulations, 2022”; NEPRA’s own workshop material refers to “NEPRA IT/OT Cyber-security Regulations”. Use the gazette wording, and cite it the same way everywhere on the page.</w:t>
            </w:r>
          </w:p>
        </w:tc>
      </w:tr>
    </w:tbl>
    <w:p>
      <w:pPr>
        <w:pStyle w:val="Heading2"/>
        <w:spacing w:after="120" w:before="300"/>
      </w:pPr>
      <w:r>
        <w:rPr>
          <w:rFonts w:ascii="Aptos" w:cs="Aptos" w:eastAsia="Aptos" w:hAnsi="Aptos"/>
          <w:b/>
          <w:bCs/>
          <w:color w:val="0A1B3D"/>
          <w:sz w:val="26"/>
          <w:szCs w:val="26"/>
        </w:rPr>
        <w:t xml:space="preserve">4.4 The four services — the compliance bundle</w:t>
      </w:r>
    </w:p>
    <w:p>
      <w:pPr>
        <w:spacing w:after="120" w:line="276"/>
      </w:pPr>
      <w:r>
        <w:rPr>
          <w:rFonts w:ascii="Aptos" w:cs="Aptos" w:eastAsia="Aptos" w:hAnsi="Aptos"/>
          <w:sz w:val="21"/>
          <w:szCs w:val="21"/>
        </w:rPr>
        <w:t xml:space="preserve">These are the four blocks from the mailed flyer, with the regulation numbers corrected to match the instrument (see section 6).</w:t>
      </w:r>
    </w:p>
    <w:p>
      <w:pPr>
        <w:pStyle w:val="Heading3"/>
        <w:spacing w:after="100" w:before="220"/>
      </w:pPr>
      <w:r>
        <w:rPr>
          <w:rFonts w:ascii="Aptos" w:cs="Aptos" w:eastAsia="Aptos" w:hAnsi="Aptos"/>
          <w:b/>
          <w:bCs/>
          <w:color w:val="1F6FEB"/>
          <w:sz w:val="22"/>
          <w:szCs w:val="22"/>
        </w:rPr>
        <w:t xml:space="preserve">1. NEPRA Compliance Audit — Regulations 4–11</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SERVICE COPY</w:t>
            </w:r>
          </w:p>
          <w:p>
            <w:pPr>
              <w:spacing w:after="60"/>
            </w:pPr>
            <w:r>
              <w:rPr>
                <w:rFonts w:ascii="Aptos" w:cs="Aptos" w:eastAsia="Aptos" w:hAnsi="Aptos"/>
                <w:sz w:val="20"/>
                <w:szCs w:val="20"/>
              </w:rPr>
              <w:t xml:space="preserve">A clause-by-clause assessment of your IT and OT environments against every operative regulation, scored, evidenced and mapped. You get a compliance position you can show NEPRA, and a ranked list of what to fix first.</w:t>
            </w:r>
          </w:p>
        </w:tc>
      </w:tr>
    </w:tbl>
    <w:p>
      <w:pPr>
        <w:pStyle w:val="Heading3"/>
        <w:spacing w:after="100" w:before="220"/>
      </w:pPr>
      <w:r>
        <w:rPr>
          <w:rFonts w:ascii="Aptos" w:cs="Aptos" w:eastAsia="Aptos" w:hAnsi="Aptos"/>
          <w:b/>
          <w:bCs/>
          <w:color w:val="1F6FEB"/>
          <w:sz w:val="22"/>
          <w:szCs w:val="22"/>
        </w:rPr>
        <w:t xml:space="preserve">2. VAPT Services — Regulation 6</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SERVICE COPY</w:t>
            </w:r>
          </w:p>
          <w:p>
            <w:pPr>
              <w:spacing w:after="60"/>
            </w:pPr>
            <w:r>
              <w:rPr>
                <w:rFonts w:ascii="Aptos" w:cs="Aptos" w:eastAsia="Aptos" w:hAnsi="Aptos"/>
                <w:sz w:val="20"/>
                <w:szCs w:val="20"/>
              </w:rPr>
              <w:t xml:space="preserve">Controlled penetration testing of the IT perimeter, plus a non-intrusive exposure assessment of the OT environment. We find what an attacker would find. We do not touch plant availability doing it.</w:t>
            </w:r>
          </w:p>
        </w:tc>
      </w:tr>
    </w:tbl>
    <w:p>
      <w:pPr>
        <w:pStyle w:val="Heading3"/>
        <w:spacing w:after="100" w:before="220"/>
      </w:pPr>
      <w:r>
        <w:rPr>
          <w:rFonts w:ascii="Aptos" w:cs="Aptos" w:eastAsia="Aptos" w:hAnsi="Aptos"/>
          <w:b/>
          <w:bCs/>
          <w:color w:val="1F6FEB"/>
          <w:sz w:val="22"/>
          <w:szCs w:val="22"/>
        </w:rPr>
        <w:t xml:space="preserve">3. Policy Framework — Regulation 4</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SERVICE COPY</w:t>
            </w:r>
          </w:p>
          <w:p>
            <w:pPr>
              <w:spacing w:after="60"/>
            </w:pPr>
            <w:r>
              <w:rPr>
                <w:rFonts w:ascii="Aptos" w:cs="Aptos" w:eastAsia="Aptos" w:hAnsi="Aptos"/>
                <w:sz w:val="20"/>
                <w:szCs w:val="20"/>
              </w:rPr>
              <w:t xml:space="preserve">The approved policies, SOPs and governance structure the regulations require — including the cybersecurity organisation, the CISO or cyber lead role, asset classification, change and patch management, business continuity, and the reporting channel to NEPRA and PowerCERT. Where the documents do not exist, we write them.</w:t>
            </w:r>
          </w:p>
        </w:tc>
      </w:tr>
    </w:tbl>
    <w:p>
      <w:pPr>
        <w:pStyle w:val="Heading3"/>
        <w:spacing w:after="100" w:before="220"/>
      </w:pPr>
      <w:r>
        <w:rPr>
          <w:rFonts w:ascii="Aptos" w:cs="Aptos" w:eastAsia="Aptos" w:hAnsi="Aptos"/>
          <w:b/>
          <w:bCs/>
          <w:color w:val="1F6FEB"/>
          <w:sz w:val="22"/>
          <w:szCs w:val="22"/>
        </w:rPr>
        <w:t xml:space="preserve">4. Cybersecurity Training — Regulation 10</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SERVICE COPY</w:t>
            </w:r>
          </w:p>
          <w:p>
            <w:pPr>
              <w:spacing w:after="60"/>
            </w:pPr>
            <w:r>
              <w:rPr>
                <w:rFonts w:ascii="Aptos" w:cs="Aptos" w:eastAsia="Aptos" w:hAnsi="Aptos"/>
                <w:sz w:val="20"/>
                <w:szCs w:val="20"/>
              </w:rPr>
              <w:t xml:space="preserve">Awareness programmes for corporate IT staff and targeted training for SCADA operators and plant engineers, plus the response-team structure that Regulation 9 assumes you already have. Roles, accountability and reporting lines, made explicit.</w:t>
            </w:r>
          </w:p>
        </w:tc>
      </w:tr>
    </w:tbl>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r>
              <w:rPr>
                <w:rFonts w:ascii="Aptos" w:cs="Aptos" w:eastAsia="Aptos" w:hAnsi="Aptos"/>
                <w:b/>
                <w:bCs/>
                <w:sz w:val="20"/>
                <w:szCs w:val="20"/>
              </w:rPr>
              <w:t xml:space="preserve">Sales note, not page copy: </w:t>
            </w:r>
            <w:r>
              <w:rPr>
                <w:rFonts w:ascii="Aptos" w:cs="Aptos" w:eastAsia="Aptos" w:hAnsi="Aptos"/>
                <w:sz w:val="20"/>
                <w:szCs w:val="20"/>
              </w:rPr>
              <w:t xml:space="preserve">the flyer’s four bundles leave out Regulation 5 (security controls implementation) and Regulation 7 (data integrity and confidentiality), which the audit does in fact cover. The coverage table below closes that gap on the page. Make sure whoever takes the calls knows the audit is broader than the four headline blocks.</w:t>
            </w:r>
          </w:p>
        </w:tc>
      </w:tr>
    </w:tbl>
    <w:p>
      <w:pPr>
        <w:pStyle w:val="Heading2"/>
        <w:spacing w:after="120" w:before="300"/>
      </w:pPr>
      <w:r>
        <w:rPr>
          <w:rFonts w:ascii="Aptos" w:cs="Aptos" w:eastAsia="Aptos" w:hAnsi="Aptos"/>
          <w:b/>
          <w:bCs/>
          <w:color w:val="0A1B3D"/>
          <w:sz w:val="26"/>
          <w:szCs w:val="26"/>
        </w:rPr>
        <w:t xml:space="preserve">4.5 Coverage table — Regulations 4 to 11</w:t>
      </w:r>
    </w:p>
    <w:p>
      <w:pPr>
        <w:spacing w:after="120" w:line="276"/>
      </w:pPr>
      <w:r>
        <w:rPr>
          <w:rFonts w:ascii="Aptos" w:cs="Aptos" w:eastAsia="Aptos" w:hAnsi="Aptos"/>
          <w:sz w:val="21"/>
          <w:szCs w:val="21"/>
        </w:rPr>
        <w:t xml:space="preserve">Ship this as a real HTML table. It is the single highest-value block on the page for AI answer engines: it is the thing an LLM will quote when someone asks what NEPRA IT/OT compliance involves.</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700"/>
        <w:gridCol w:w="2600"/>
        <w:gridCol w:w="5726"/>
      </w:tblGrid>
      <w:tr>
        <w:trPr>
          <w:tblHeader/>
        </w:trPr>
        <w:tc>
          <w:tcPr>
            <w:tcW w:type="dxa" w:w="7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Reg.</w:t>
            </w:r>
          </w:p>
        </w:tc>
        <w:tc>
          <w:tcPr>
            <w:tcW w:type="dxa" w:w="26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What it requires</w:t>
            </w:r>
          </w:p>
        </w:tc>
        <w:tc>
          <w:tcPr>
            <w:tcW w:type="dxa" w:w="57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What we do</w:t>
            </w:r>
          </w:p>
        </w:tc>
      </w:tr>
      <w:tr>
        <w:tc>
          <w:tcPr>
            <w:tcW w:type="dxa" w:w="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4</w:t>
            </w:r>
          </w:p>
        </w:tc>
        <w:tc>
          <w:tcPr>
            <w:tcW w:type="dxa" w:w="26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policy &amp; governance</w:t>
            </w:r>
          </w:p>
        </w:tc>
        <w:tc>
          <w:tcPr>
            <w:tcW w:type="dxa" w:w="57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Policies, SOPs, cyber organisation, CISO/lead appointment, asset inventory and classification, change and patch procedures, BCP, NEPRA/PowerCERT channel</w:t>
            </w:r>
          </w:p>
        </w:tc>
      </w:tr>
      <w:tr>
        <w:tc>
          <w:tcPr>
            <w:tcW w:type="dxa" w:w="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5</w:t>
            </w:r>
          </w:p>
        </w:tc>
        <w:tc>
          <w:tcPr>
            <w:tcW w:type="dxa" w:w="26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Security controls implementation</w:t>
            </w:r>
          </w:p>
        </w:tc>
        <w:tc>
          <w:tcPr>
            <w:tcW w:type="dxa" w:w="57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IAM and least privilege, MFA, IT–OT segregation, firewalls and allow-listing, secure vendor VPN, endpoint and removable-media control, IDS/IPS at OT boundaries, log retention, control-room access, GPS time sync</w:t>
            </w:r>
          </w:p>
        </w:tc>
      </w:tr>
      <w:tr>
        <w:tc>
          <w:tcPr>
            <w:tcW w:type="dxa" w:w="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6</w:t>
            </w:r>
          </w:p>
        </w:tc>
        <w:tc>
          <w:tcPr>
            <w:tcW w:type="dxa" w:w="26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Security risk &amp; vulnerability assessment</w:t>
            </w:r>
          </w:p>
        </w:tc>
        <w:tc>
          <w:tcPr>
            <w:tcW w:type="dxa" w:w="57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Annual IT and OT risk assessment, vulnerability assessment across SCADA and IT, critical-system identification, remediation programme, reassessment after incidents or major change</w:t>
            </w:r>
          </w:p>
        </w:tc>
      </w:tr>
      <w:tr>
        <w:tc>
          <w:tcPr>
            <w:tcW w:type="dxa" w:w="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7</w:t>
            </w:r>
          </w:p>
        </w:tc>
        <w:tc>
          <w:tcPr>
            <w:tcW w:type="dxa" w:w="26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Data integrity &amp; confidentiality</w:t>
            </w:r>
          </w:p>
        </w:tc>
        <w:tc>
          <w:tcPr>
            <w:tcW w:type="dxa" w:w="57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Controls over IT/OT data authenticity, secure exchange with grid operators and ISMO, restricted access to critical telemetry</w:t>
            </w:r>
          </w:p>
        </w:tc>
      </w:tr>
      <w:tr>
        <w:tc>
          <w:tcPr>
            <w:tcW w:type="dxa" w:w="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8</w:t>
            </w:r>
          </w:p>
        </w:tc>
        <w:tc>
          <w:tcPr>
            <w:tcW w:type="dxa" w:w="26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Authority-mandated audit support</w:t>
            </w:r>
          </w:p>
        </w:tc>
        <w:tc>
          <w:tcPr>
            <w:tcW w:type="dxa" w:w="57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Readiness for a NEPRA-directed technical audit, and an evidence pack organised for submission</w:t>
            </w:r>
          </w:p>
        </w:tc>
      </w:tr>
      <w:tr>
        <w:tc>
          <w:tcPr>
            <w:tcW w:type="dxa" w:w="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9</w:t>
            </w:r>
          </w:p>
        </w:tc>
        <w:tc>
          <w:tcPr>
            <w:tcW w:type="dxa" w:w="26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Monitoring &amp; incident response</w:t>
            </w:r>
          </w:p>
        </w:tc>
        <w:tc>
          <w:tcPr>
            <w:tcW w:type="dxa" w:w="57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Control monitoring across IT and OT, incident response plan for plant and SCADA, response-team procedures, recovery and restoration, reporting to National CERT and PowerCERT</w:t>
            </w:r>
          </w:p>
        </w:tc>
      </w:tr>
      <w:tr>
        <w:tc>
          <w:tcPr>
            <w:tcW w:type="dxa" w:w="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10</w:t>
            </w:r>
          </w:p>
        </w:tc>
        <w:tc>
          <w:tcPr>
            <w:tcW w:type="dxa" w:w="26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Awareness &amp; training</w:t>
            </w:r>
          </w:p>
        </w:tc>
        <w:tc>
          <w:tcPr>
            <w:tcW w:type="dxa" w:w="57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Awareness programmes for IT and OT personnel, SCADA operator and engineer training, roles and reporting lines</w:t>
            </w:r>
          </w:p>
        </w:tc>
      </w:tr>
      <w:tr>
        <w:tc>
          <w:tcPr>
            <w:tcW w:type="dxa" w:w="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11</w:t>
            </w:r>
          </w:p>
        </w:tc>
        <w:tc>
          <w:tcPr>
            <w:tcW w:type="dxa" w:w="26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Regulatory reporting</w:t>
            </w:r>
          </w:p>
        </w:tc>
        <w:tc>
          <w:tcPr>
            <w:tcW w:type="dxa" w:w="57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Quarterly incident reporting to NEPRA, 72-hour reporting of significant incidents, documentation and correspondence with the Authority</w:t>
            </w:r>
          </w:p>
        </w:tc>
      </w:tr>
    </w:tbl>
    <w:p>
      <w:pPr>
        <w:spacing w:after="160"/>
      </w:pPr>
      <w:r>
        <w:rPr>
          <w:rFonts w:ascii="Aptos" w:cs="Aptos" w:eastAsia="Aptos" w:hAnsi="Aptos"/>
          <w:sz w:val="21"/>
          <w:szCs w:val="21"/>
        </w:rPr>
        <w:t xml:space="preserve"/>
      </w:r>
    </w:p>
    <w:p>
      <w:pPr>
        <w:pStyle w:val="Heading2"/>
        <w:spacing w:after="120" w:before="300"/>
      </w:pPr>
      <w:r>
        <w:rPr>
          <w:rFonts w:ascii="Aptos" w:cs="Aptos" w:eastAsia="Aptos" w:hAnsi="Aptos"/>
          <w:b/>
          <w:bCs/>
          <w:color w:val="0A1B3D"/>
          <w:sz w:val="26"/>
          <w:szCs w:val="26"/>
        </w:rPr>
        <w:t xml:space="preserve">4.6 How the audit runs</w:t>
      </w:r>
    </w:p>
    <w:p>
      <w:pPr>
        <w:spacing w:after="120" w:line="276"/>
      </w:pPr>
      <w:r>
        <w:rPr>
          <w:rFonts w:ascii="Aptos" w:cs="Aptos" w:eastAsia="Aptos" w:hAnsi="Aptos"/>
          <w:sz w:val="21"/>
          <w:szCs w:val="21"/>
        </w:rPr>
        <w:t xml:space="preserve">Seven stages, drawn from the delivered methodology. The point of publishing them is that it answers the question a plant manager actually has, which is “what will you do to my network”.</w:t>
      </w:r>
    </w:p>
    <w:p>
      <w:pPr>
        <w:pStyle w:val="ListParagraph"/>
        <w:numPr>
          <w:ilvl w:val="0"/>
          <w:numId w:val="2"/>
        </w:numPr>
        <w:spacing w:after="60" w:line="276"/>
      </w:pPr>
      <w:r>
        <w:rPr>
          <w:rFonts w:ascii="Aptos" w:cs="Aptos" w:eastAsia="Aptos" w:hAnsi="Aptos"/>
          <w:b/>
          <w:bCs/>
          <w:sz w:val="21"/>
          <w:szCs w:val="21"/>
        </w:rPr>
        <w:t xml:space="preserve">Opening meeting. </w:t>
      </w:r>
      <w:r>
        <w:rPr>
          <w:rFonts w:ascii="Aptos" w:cs="Aptos" w:eastAsia="Aptos" w:hAnsi="Aptos"/>
          <w:sz w:val="21"/>
          <w:szCs w:val="21"/>
        </w:rPr>
        <w:t xml:space="preserve">Confirm scope, frameworks and evidence process; agree timelines and who owns what.</w:t>
      </w:r>
    </w:p>
    <w:p>
      <w:pPr>
        <w:pStyle w:val="ListParagraph"/>
        <w:numPr>
          <w:ilvl w:val="0"/>
          <w:numId w:val="2"/>
        </w:numPr>
        <w:spacing w:after="60" w:line="276"/>
      </w:pPr>
      <w:r>
        <w:rPr>
          <w:rFonts w:ascii="Aptos" w:cs="Aptos" w:eastAsia="Aptos" w:hAnsi="Aptos"/>
          <w:b/>
          <w:bCs/>
          <w:sz w:val="21"/>
          <w:szCs w:val="21"/>
        </w:rPr>
        <w:t xml:space="preserve">Policy and documentation review. </w:t>
      </w:r>
      <w:r>
        <w:rPr>
          <w:rFonts w:ascii="Aptos" w:cs="Aptos" w:eastAsia="Aptos" w:hAnsi="Aptos"/>
          <w:sz w:val="21"/>
          <w:szCs w:val="21"/>
        </w:rPr>
        <w:t xml:space="preserve">Policies, network diagrams, access lists and procedures against the regulatory requirement.</w:t>
      </w:r>
    </w:p>
    <w:p>
      <w:pPr>
        <w:pStyle w:val="ListParagraph"/>
        <w:numPr>
          <w:ilvl w:val="0"/>
          <w:numId w:val="2"/>
        </w:numPr>
        <w:spacing w:after="60" w:line="276"/>
      </w:pPr>
      <w:r>
        <w:rPr>
          <w:rFonts w:ascii="Aptos" w:cs="Aptos" w:eastAsia="Aptos" w:hAnsi="Aptos"/>
          <w:b/>
          <w:bCs/>
          <w:sz w:val="21"/>
          <w:szCs w:val="21"/>
        </w:rPr>
        <w:t xml:space="preserve">Interviews and process validation. </w:t>
      </w:r>
      <w:r>
        <w:rPr>
          <w:rFonts w:ascii="Aptos" w:cs="Aptos" w:eastAsia="Aptos" w:hAnsi="Aptos"/>
          <w:sz w:val="21"/>
          <w:szCs w:val="21"/>
        </w:rPr>
        <w:t xml:space="preserve">IT, OT and plant staff — how controls actually work day to day, not how they are written down.</w:t>
      </w:r>
    </w:p>
    <w:p>
      <w:pPr>
        <w:pStyle w:val="ListParagraph"/>
        <w:numPr>
          <w:ilvl w:val="0"/>
          <w:numId w:val="2"/>
        </w:numPr>
        <w:spacing w:after="60" w:line="276"/>
      </w:pPr>
      <w:r>
        <w:rPr>
          <w:rFonts w:ascii="Aptos" w:cs="Aptos" w:eastAsia="Aptos" w:hAnsi="Aptos"/>
          <w:b/>
          <w:bCs/>
          <w:sz w:val="21"/>
          <w:szCs w:val="21"/>
        </w:rPr>
        <w:t xml:space="preserve">Evidence verification and technical sampling. </w:t>
      </w:r>
      <w:r>
        <w:rPr>
          <w:rFonts w:ascii="Aptos" w:cs="Aptos" w:eastAsia="Aptos" w:hAnsi="Aptos"/>
          <w:sz w:val="21"/>
          <w:szCs w:val="21"/>
        </w:rPr>
        <w:t xml:space="preserve">Access logs, patch reports, backup records, selective configuration checks.</w:t>
      </w:r>
    </w:p>
    <w:p>
      <w:pPr>
        <w:pStyle w:val="ListParagraph"/>
        <w:numPr>
          <w:ilvl w:val="0"/>
          <w:numId w:val="2"/>
        </w:numPr>
        <w:spacing w:after="60" w:line="276"/>
      </w:pPr>
      <w:r>
        <w:rPr>
          <w:rFonts w:ascii="Aptos" w:cs="Aptos" w:eastAsia="Aptos" w:hAnsi="Aptos"/>
          <w:b/>
          <w:bCs/>
          <w:sz w:val="21"/>
          <w:szCs w:val="21"/>
        </w:rPr>
        <w:t xml:space="preserve">Configuration and log review. </w:t>
      </w:r>
      <w:r>
        <w:rPr>
          <w:rFonts w:ascii="Aptos" w:cs="Aptos" w:eastAsia="Aptos" w:hAnsi="Aptos"/>
          <w:sz w:val="21"/>
          <w:szCs w:val="21"/>
        </w:rPr>
        <w:t xml:space="preserve">Firewall, switch, SCADA and server settings; event and security logs for anomalies.</w:t>
      </w:r>
    </w:p>
    <w:p>
      <w:pPr>
        <w:pStyle w:val="ListParagraph"/>
        <w:numPr>
          <w:ilvl w:val="0"/>
          <w:numId w:val="2"/>
        </w:numPr>
        <w:spacing w:after="60" w:line="276"/>
      </w:pPr>
      <w:r>
        <w:rPr>
          <w:rFonts w:ascii="Aptos" w:cs="Aptos" w:eastAsia="Aptos" w:hAnsi="Aptos"/>
          <w:b/>
          <w:bCs/>
          <w:sz w:val="21"/>
          <w:szCs w:val="21"/>
        </w:rPr>
        <w:t xml:space="preserve">Non-intrusive OT assessment. </w:t>
      </w:r>
      <w:r>
        <w:rPr>
          <w:rFonts w:ascii="Aptos" w:cs="Aptos" w:eastAsia="Aptos" w:hAnsi="Aptos"/>
          <w:sz w:val="21"/>
          <w:szCs w:val="21"/>
        </w:rPr>
        <w:t xml:space="preserve">Segmentation, SCADA and PLC access, remote connections, vendor VPN usage, control-room physical security.</w:t>
      </w:r>
    </w:p>
    <w:p>
      <w:pPr>
        <w:pStyle w:val="ListParagraph"/>
        <w:numPr>
          <w:ilvl w:val="0"/>
          <w:numId w:val="2"/>
        </w:numPr>
        <w:spacing w:after="60" w:line="276"/>
      </w:pPr>
      <w:r>
        <w:rPr>
          <w:rFonts w:ascii="Aptos" w:cs="Aptos" w:eastAsia="Aptos" w:hAnsi="Aptos"/>
          <w:b/>
          <w:bCs/>
          <w:sz w:val="21"/>
          <w:szCs w:val="21"/>
        </w:rPr>
        <w:t xml:space="preserve">Closing meeting and reporting. </w:t>
      </w:r>
      <w:r>
        <w:rPr>
          <w:rFonts w:ascii="Aptos" w:cs="Aptos" w:eastAsia="Aptos" w:hAnsi="Aptos"/>
          <w:sz w:val="21"/>
          <w:szCs w:val="21"/>
        </w:rPr>
        <w:t xml:space="preserve">Findings validated with management, then the full report, compliance score and remediation roadmap.</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CALLOUT — PLACE THIS NEXT TO THE STAGE LIST</w:t>
            </w:r>
          </w:p>
          <w:p>
            <w:pPr>
              <w:spacing w:after="60"/>
            </w:pPr>
            <w:r>
              <w:rPr>
                <w:rFonts w:ascii="Aptos" w:cs="Aptos" w:eastAsia="Aptos" w:hAnsi="Aptos"/>
                <w:b/>
                <w:bCs/>
                <w:color w:val="0A1B3D"/>
                <w:sz w:val="24"/>
                <w:szCs w:val="24"/>
              </w:rPr>
              <w:t xml:space="preserve">Non-intrusive by design.</w:t>
            </w:r>
          </w:p>
          <w:p>
            <w:pPr>
              <w:spacing w:after="60"/>
            </w:pPr>
            <w:r>
              <w:rPr>
                <w:rFonts w:ascii="Aptos" w:cs="Aptos" w:eastAsia="Aptos" w:hAnsi="Aptos"/>
                <w:sz w:val="20"/>
                <w:szCs w:val="20"/>
              </w:rPr>
              <w:t xml:space="preserve">Every OT test is passive. We assess exposure without scanning live control systems, and nothing we do requires plant downtime. This is the first question every plant manager asks, so here is the answer up front.</w:t>
            </w:r>
          </w:p>
        </w:tc>
      </w:tr>
    </w:tbl>
    <w:p>
      <w:pPr>
        <w:pStyle w:val="Heading2"/>
        <w:spacing w:after="120" w:before="300"/>
      </w:pPr>
      <w:r>
        <w:rPr>
          <w:rFonts w:ascii="Aptos" w:cs="Aptos" w:eastAsia="Aptos" w:hAnsi="Aptos"/>
          <w:b/>
          <w:bCs/>
          <w:color w:val="0A1B3D"/>
          <w:sz w:val="26"/>
          <w:szCs w:val="26"/>
        </w:rPr>
        <w:t xml:space="preserve">4.7 What you receive</w:t>
      </w:r>
    </w:p>
    <w:p>
      <w:pPr>
        <w:pStyle w:val="ListParagraph"/>
        <w:numPr>
          <w:ilvl w:val="0"/>
          <w:numId w:val="3"/>
        </w:numPr>
        <w:spacing w:after="60" w:line="276"/>
      </w:pPr>
      <w:r>
        <w:rPr>
          <w:rFonts w:ascii="Aptos" w:cs="Aptos" w:eastAsia="Aptos" w:hAnsi="Aptos"/>
          <w:b/>
          <w:bCs/>
          <w:sz w:val="21"/>
          <w:szCs w:val="21"/>
        </w:rPr>
        <w:t xml:space="preserve">NEPRA Compliance Report </w:t>
      </w:r>
      <w:r>
        <w:rPr>
          <w:rFonts w:ascii="Aptos" w:cs="Aptos" w:eastAsia="Aptos" w:hAnsi="Aptos"/>
          <w:sz w:val="21"/>
          <w:szCs w:val="21"/>
        </w:rPr>
        <w:t xml:space="preserve">— clause-by-clause scoring against Regulations 4–11.</w:t>
      </w:r>
    </w:p>
    <w:p>
      <w:pPr>
        <w:pStyle w:val="ListParagraph"/>
        <w:numPr>
          <w:ilvl w:val="0"/>
          <w:numId w:val="3"/>
        </w:numPr>
        <w:spacing w:after="60" w:line="276"/>
      </w:pPr>
      <w:r>
        <w:rPr>
          <w:rFonts w:ascii="Aptos" w:cs="Aptos" w:eastAsia="Aptos" w:hAnsi="Aptos"/>
          <w:b/>
          <w:bCs/>
          <w:sz w:val="21"/>
          <w:szCs w:val="21"/>
        </w:rPr>
        <w:t xml:space="preserve">Risk &amp; Gap Analysis </w:t>
      </w:r>
      <w:r>
        <w:rPr>
          <w:rFonts w:ascii="Aptos" w:cs="Aptos" w:eastAsia="Aptos" w:hAnsi="Aptos"/>
          <w:sz w:val="21"/>
          <w:szCs w:val="21"/>
        </w:rPr>
        <w:t xml:space="preserve">— findings rated and prioritised.</w:t>
      </w:r>
    </w:p>
    <w:p>
      <w:pPr>
        <w:pStyle w:val="ListParagraph"/>
        <w:numPr>
          <w:ilvl w:val="0"/>
          <w:numId w:val="3"/>
        </w:numPr>
        <w:spacing w:after="60" w:line="276"/>
      </w:pPr>
      <w:r>
        <w:rPr>
          <w:rFonts w:ascii="Aptos" w:cs="Aptos" w:eastAsia="Aptos" w:hAnsi="Aptos"/>
          <w:b/>
          <w:bCs/>
          <w:sz w:val="21"/>
          <w:szCs w:val="21"/>
        </w:rPr>
        <w:t xml:space="preserve">VAPT Report </w:t>
      </w:r>
      <w:r>
        <w:rPr>
          <w:rFonts w:ascii="Aptos" w:cs="Aptos" w:eastAsia="Aptos" w:hAnsi="Aptos"/>
          <w:sz w:val="21"/>
          <w:szCs w:val="21"/>
        </w:rPr>
        <w:t xml:space="preserve">— IT penetration testing and OT exposure findings.</w:t>
      </w:r>
    </w:p>
    <w:p>
      <w:pPr>
        <w:pStyle w:val="ListParagraph"/>
        <w:numPr>
          <w:ilvl w:val="0"/>
          <w:numId w:val="3"/>
        </w:numPr>
        <w:spacing w:after="60" w:line="276"/>
      </w:pPr>
      <w:r>
        <w:rPr>
          <w:rFonts w:ascii="Aptos" w:cs="Aptos" w:eastAsia="Aptos" w:hAnsi="Aptos"/>
          <w:b/>
          <w:bCs/>
          <w:sz w:val="21"/>
          <w:szCs w:val="21"/>
        </w:rPr>
        <w:t xml:space="preserve">Statement of Applicability </w:t>
      </w:r>
      <w:r>
        <w:rPr>
          <w:rFonts w:ascii="Aptos" w:cs="Aptos" w:eastAsia="Aptos" w:hAnsi="Aptos"/>
          <w:sz w:val="21"/>
          <w:szCs w:val="21"/>
        </w:rPr>
        <w:t xml:space="preserve">— every clause mapped to your IT and OT systems, with justifications and evidence expectations.</w:t>
      </w:r>
    </w:p>
    <w:p>
      <w:pPr>
        <w:pStyle w:val="ListParagraph"/>
        <w:numPr>
          <w:ilvl w:val="0"/>
          <w:numId w:val="3"/>
        </w:numPr>
        <w:spacing w:after="60" w:line="276"/>
      </w:pPr>
      <w:r>
        <w:rPr>
          <w:rFonts w:ascii="Aptos" w:cs="Aptos" w:eastAsia="Aptos" w:hAnsi="Aptos"/>
          <w:b/>
          <w:bCs/>
          <w:sz w:val="21"/>
          <w:szCs w:val="21"/>
        </w:rPr>
        <w:t xml:space="preserve">Remediation roadmap </w:t>
      </w:r>
      <w:r>
        <w:rPr>
          <w:rFonts w:ascii="Aptos" w:cs="Aptos" w:eastAsia="Aptos" w:hAnsi="Aptos"/>
          <w:sz w:val="21"/>
          <w:szCs w:val="21"/>
        </w:rPr>
        <w:t xml:space="preserve">— sequenced, with owners.</w:t>
      </w:r>
    </w:p>
    <w:p>
      <w:pPr>
        <w:pStyle w:val="ListParagraph"/>
        <w:numPr>
          <w:ilvl w:val="0"/>
          <w:numId w:val="3"/>
        </w:numPr>
        <w:spacing w:after="60" w:line="276"/>
      </w:pPr>
      <w:r>
        <w:rPr>
          <w:rFonts w:ascii="Aptos" w:cs="Aptos" w:eastAsia="Aptos" w:hAnsi="Aptos"/>
          <w:b/>
          <w:bCs/>
          <w:sz w:val="21"/>
          <w:szCs w:val="21"/>
        </w:rPr>
        <w:t xml:space="preserve">Closing presentation </w:t>
      </w:r>
      <w:r>
        <w:rPr>
          <w:rFonts w:ascii="Aptos" w:cs="Aptos" w:eastAsia="Aptos" w:hAnsi="Aptos"/>
          <w:sz w:val="21"/>
          <w:szCs w:val="21"/>
        </w:rPr>
        <w:t xml:space="preserve">— executive-ready, for your board or management committee.</w:t>
      </w:r>
    </w:p>
    <w:p>
      <w:pPr>
        <w:pStyle w:val="Heading2"/>
        <w:spacing w:after="120" w:before="300"/>
      </w:pPr>
      <w:r>
        <w:rPr>
          <w:rFonts w:ascii="Aptos" w:cs="Aptos" w:eastAsia="Aptos" w:hAnsi="Aptos"/>
          <w:b/>
          <w:bCs/>
          <w:color w:val="0A1B3D"/>
          <w:sz w:val="26"/>
          <w:szCs w:val="26"/>
        </w:rPr>
        <w:t xml:space="preserve">4.8 Why xLoop</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CREDENTIALS — APPROVED CLAIMS ONLY</w:t>
            </w:r>
          </w:p>
          <w:p>
            <w:pPr>
              <w:spacing w:after="60"/>
            </w:pPr>
            <w:r>
              <w:rPr>
                <w:rFonts w:ascii="Aptos" w:cs="Aptos" w:eastAsia="Aptos" w:hAnsi="Aptos"/>
                <w:sz w:val="20"/>
                <w:szCs w:val="20"/>
              </w:rPr>
              <w:t xml:space="preserve">Audits led by certified ISO 27001 and ISO 42001 Lead Auditors.</w:t>
            </w:r>
          </w:p>
          <w:p>
            <w:pPr>
              <w:spacing w:after="60"/>
            </w:pPr>
            <w:r>
              <w:rPr>
                <w:rFonts w:ascii="Aptos" w:cs="Aptos" w:eastAsia="Aptos" w:hAnsi="Aptos"/>
                <w:sz w:val="20"/>
                <w:szCs w:val="20"/>
              </w:rPr>
              <w:t xml:space="preserve">We have delivered a full NEPRA IT/OT compliance audit for a live 30 MW wind IPP, covering head office and two plant sites.</w:t>
            </w:r>
          </w:p>
          <w:p>
            <w:pPr>
              <w:spacing w:after="60"/>
            </w:pPr>
            <w:r>
              <w:rPr>
                <w:rFonts w:ascii="Aptos" w:cs="Aptos" w:eastAsia="Aptos" w:hAnsi="Aptos"/>
                <w:sz w:val="20"/>
                <w:szCs w:val="20"/>
              </w:rPr>
              <w:t xml:space="preserve">Evidence-based, defensible methodology — clause-level regulatory traceability, not a checklist.</w:t>
            </w:r>
          </w:p>
          <w:p>
            <w:pPr>
              <w:spacing w:after="60"/>
            </w:pPr>
            <w:r>
              <w:rPr>
                <w:rFonts w:ascii="Aptos" w:cs="Aptos" w:eastAsia="Aptos" w:hAnsi="Aptos"/>
                <w:sz w:val="20"/>
                <w:szCs w:val="20"/>
              </w:rPr>
              <w:t xml:space="preserve">A Karachi-based security practice, inside a digital engineering firm operating across nine countries.</w:t>
            </w:r>
          </w:p>
        </w:tc>
      </w:tr>
    </w:tbl>
    <w:tbl>
      <w:tblPr>
        <w:tblW w:type="dxa" w:w="9026"/>
        <w:tblBorders>
          <w:top w:val="single" w:color="FFF4E5" w:sz="2"/>
          <w:left w:val="single" w:color="F59E0B" w:sz="18"/>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60"/>
              <w:left w:type="dxa" w:w="220"/>
              <w:bottom w:type="dxa" w:w="160"/>
              <w:right w:type="dxa" w:w="220"/>
            </w:tcMar>
          </w:tcPr>
          <w:p>
            <w:r>
              <w:rPr>
                <w:rFonts w:ascii="Aptos" w:cs="Aptos" w:eastAsia="Aptos" w:hAnsi="Aptos"/>
                <w:b/>
                <w:bCs/>
                <w:color w:val="B45309"/>
                <w:sz w:val="17"/>
                <w:szCs w:val="17"/>
              </w:rPr>
              <w:t xml:space="preserve">VERIFY BEFORE PUBLISHING  </w:t>
            </w:r>
            <w:r>
              <w:rPr>
                <w:rFonts w:ascii="Aptos" w:cs="Aptos" w:eastAsia="Aptos" w:hAnsi="Aptos"/>
                <w:sz w:val="20"/>
                <w:szCs w:val="20"/>
              </w:rPr>
              <w:t xml:space="preserve">Three checks. (1) The anonymised wind IPP reference — confirm the engagement letter permits even an unnamed public reference. (2) You did not approve the “methodology aligned to NIST, IEC 62443 and MITRE ATT&amp;CK” claim, so I have left it off, though your own proposal makes it — add it back if it is accurate. (3) I have deliberately not written that xLoop holds ISO 27001 as a company, only that named auditors hold the certification. Do not upgrade that sentence unless the company certificate exists.</w:t>
            </w:r>
          </w:p>
        </w:tc>
      </w:tr>
    </w:tbl>
    <w:p>
      <w:pPr>
        <w:pStyle w:val="Heading2"/>
        <w:spacing w:after="120" w:before="300"/>
      </w:pPr>
      <w:r>
        <w:rPr>
          <w:rFonts w:ascii="Aptos" w:cs="Aptos" w:eastAsia="Aptos" w:hAnsi="Aptos"/>
          <w:b/>
          <w:bCs/>
          <w:color w:val="0A1B3D"/>
          <w:sz w:val="26"/>
          <w:szCs w:val="26"/>
        </w:rPr>
        <w:t xml:space="preserve">4.9 FAQ — written for AI answer engines</w:t>
      </w:r>
    </w:p>
    <w:p>
      <w:pPr>
        <w:spacing w:after="120" w:line="276"/>
      </w:pPr>
      <w:r>
        <w:rPr>
          <w:rFonts w:ascii="Aptos" w:cs="Aptos" w:eastAsia="Aptos" w:hAnsi="Aptos"/>
          <w:sz w:val="21"/>
          <w:szCs w:val="21"/>
        </w:rPr>
        <w:t xml:space="preserve">Mark this up as FAQPage schema and keep the answers short and self-contained. These are the questions people type into an LLM, and each answer is written to survive being quoted on its own.</w:t>
      </w:r>
    </w:p>
    <w:p>
      <w:pPr>
        <w:spacing w:after="40" w:before="160"/>
      </w:pPr>
      <w:r>
        <w:rPr>
          <w:rFonts w:ascii="Aptos" w:cs="Aptos" w:eastAsia="Aptos" w:hAnsi="Aptos"/>
          <w:b/>
          <w:bCs/>
          <w:color w:val="0A1B3D"/>
          <w:sz w:val="21"/>
          <w:szCs w:val="21"/>
        </w:rPr>
        <w:t xml:space="preserve">Who has to comply with NEPRA’s IT/OT security regulations?</w:t>
      </w:r>
    </w:p>
    <w:p>
      <w:pPr>
        <w:spacing w:after="60"/>
      </w:pPr>
      <w:r>
        <w:rPr>
          <w:rFonts w:ascii="Aptos" w:cs="Aptos" w:eastAsia="Aptos" w:hAnsi="Aptos"/>
          <w:sz w:val="20"/>
          <w:szCs w:val="20"/>
        </w:rPr>
        <w:t xml:space="preserve">Every NEPRA licensee in Pakistan’s power sector — generation, transmission and distribution companies. The obligations cover both corporate IT and operational technology, including SCADA, DCS, PLCs and RTUs.</w:t>
      </w:r>
    </w:p>
    <w:p>
      <w:pPr>
        <w:spacing w:after="40" w:before="160"/>
      </w:pPr>
      <w:r>
        <w:rPr>
          <w:rFonts w:ascii="Aptos" w:cs="Aptos" w:eastAsia="Aptos" w:hAnsi="Aptos"/>
          <w:b/>
          <w:bCs/>
          <w:color w:val="0A1B3D"/>
          <w:sz w:val="21"/>
          <w:szCs w:val="21"/>
        </w:rPr>
        <w:t xml:space="preserve">What are the NEPRA IT/OT regulations?</w:t>
      </w:r>
    </w:p>
    <w:p>
      <w:pPr>
        <w:spacing w:after="60"/>
      </w:pPr>
      <w:r>
        <w:rPr>
          <w:rFonts w:ascii="Aptos" w:cs="Aptos" w:eastAsia="Aptos" w:hAnsi="Aptos"/>
          <w:sz w:val="20"/>
          <w:szCs w:val="20"/>
        </w:rPr>
        <w:t xml:space="preserve">The Security of Information Technology &amp; Operational Technology Regulations, 2022 set the mandatory cybersecurity framework for NEPRA licensees. They span governance and policy, security controls, risk and vulnerability assessment, data integrity, audit support, monitoring and incident response, training, and regulatory reporting.</w:t>
      </w:r>
    </w:p>
    <w:p>
      <w:pPr>
        <w:spacing w:after="40" w:before="160"/>
      </w:pPr>
      <w:r>
        <w:rPr>
          <w:rFonts w:ascii="Aptos" w:cs="Aptos" w:eastAsia="Aptos" w:hAnsi="Aptos"/>
          <w:b/>
          <w:bCs/>
          <w:color w:val="0A1B3D"/>
          <w:sz w:val="21"/>
          <w:szCs w:val="21"/>
        </w:rPr>
        <w:t xml:space="preserve">How quickly must a cyber incident be reported to NEPRA?</w:t>
      </w:r>
    </w:p>
    <w:p>
      <w:pPr>
        <w:spacing w:after="60"/>
      </w:pPr>
      <w:r>
        <w:rPr>
          <w:rFonts w:ascii="Aptos" w:cs="Aptos" w:eastAsia="Aptos" w:hAnsi="Aptos"/>
          <w:sz w:val="20"/>
          <w:szCs w:val="20"/>
        </w:rPr>
        <w:t xml:space="preserve">Significant incidents must be reported within 72 hours, in addition to quarterly cybersecurity incident reporting to the Authority. Incidents affecting OT are also reported to the National CERT and PowerCERT.</w:t>
      </w:r>
    </w:p>
    <w:p>
      <w:pPr>
        <w:spacing w:after="40" w:before="160"/>
      </w:pPr>
      <w:r>
        <w:rPr>
          <w:rFonts w:ascii="Aptos" w:cs="Aptos" w:eastAsia="Aptos" w:hAnsi="Aptos"/>
          <w:b/>
          <w:bCs/>
          <w:color w:val="0A1B3D"/>
          <w:sz w:val="21"/>
          <w:szCs w:val="21"/>
        </w:rPr>
        <w:t xml:space="preserve">Will a compliance audit disrupt plant or SCADA operations?</w:t>
      </w:r>
    </w:p>
    <w:p>
      <w:pPr>
        <w:spacing w:after="60"/>
      </w:pPr>
      <w:r>
        <w:rPr>
          <w:rFonts w:ascii="Aptos" w:cs="Aptos" w:eastAsia="Aptos" w:hAnsi="Aptos"/>
          <w:sz w:val="20"/>
          <w:szCs w:val="20"/>
        </w:rPr>
        <w:t xml:space="preserve">It should not. A properly scoped NEPRA audit assesses OT passively — reviewing configurations, segmentation, access and logs rather than actively scanning live control systems. No plant downtime is required.</w:t>
      </w:r>
    </w:p>
    <w:p>
      <w:pPr>
        <w:spacing w:after="40" w:before="160"/>
      </w:pPr>
      <w:r>
        <w:rPr>
          <w:rFonts w:ascii="Aptos" w:cs="Aptos" w:eastAsia="Aptos" w:hAnsi="Aptos"/>
          <w:b/>
          <w:bCs/>
          <w:color w:val="0A1B3D"/>
          <w:sz w:val="21"/>
          <w:szCs w:val="21"/>
        </w:rPr>
        <w:t xml:space="preserve">How long does a NEPRA IT/OT compliance audit take?</w:t>
      </w:r>
    </w:p>
    <w:p>
      <w:pPr>
        <w:spacing w:after="60"/>
      </w:pPr>
      <w:r>
        <w:rPr>
          <w:rFonts w:ascii="Aptos" w:cs="Aptos" w:eastAsia="Aptos" w:hAnsi="Aptos"/>
          <w:sz w:val="20"/>
          <w:szCs w:val="20"/>
        </w:rPr>
        <w:t xml:space="preserve">For a single-site licensee, roughly three weeks of engagement across scoping, fieldwork, gap analysis and reporting. Multi-site licensees take longer in proportion to the number of plants and the size of the OT estate.</w:t>
      </w:r>
    </w:p>
    <w:p>
      <w:pPr>
        <w:spacing w:after="40" w:before="160"/>
      </w:pPr>
      <w:r>
        <w:rPr>
          <w:rFonts w:ascii="Aptos" w:cs="Aptos" w:eastAsia="Aptos" w:hAnsi="Aptos"/>
          <w:b/>
          <w:bCs/>
          <w:color w:val="0A1B3D"/>
          <w:sz w:val="21"/>
          <w:szCs w:val="21"/>
        </w:rPr>
        <w:t xml:space="preserve">What happens if NEPRA directs a technical audit?</w:t>
      </w:r>
    </w:p>
    <w:p>
      <w:pPr>
        <w:spacing w:after="60"/>
      </w:pPr>
      <w:r>
        <w:rPr>
          <w:rFonts w:ascii="Aptos" w:cs="Aptos" w:eastAsia="Aptos" w:hAnsi="Aptos"/>
          <w:sz w:val="20"/>
          <w:szCs w:val="20"/>
        </w:rPr>
        <w:t xml:space="preserve">Regulation 8 requires licensees to support an Authority-directed technical audit and produce evidence. In practice that means having an organised evidence file — policies, asset inventory, access records, patch and backup logs, incident records — ready before you are asked.</w:t>
      </w:r>
    </w:p>
    <w:tbl>
      <w:tblPr>
        <w:tblW w:type="dxa" w:w="9026"/>
        <w:tblBorders>
          <w:top w:val="single" w:color="FFF4E5" w:sz="2"/>
          <w:left w:val="single" w:color="F59E0B" w:sz="18"/>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60"/>
              <w:left w:type="dxa" w:w="220"/>
              <w:bottom w:type="dxa" w:w="160"/>
              <w:right w:type="dxa" w:w="220"/>
            </w:tcMar>
          </w:tcPr>
          <w:p>
            <w:r>
              <w:rPr>
                <w:rFonts w:ascii="Aptos" w:cs="Aptos" w:eastAsia="Aptos" w:hAnsi="Aptos"/>
                <w:b/>
                <w:bCs/>
                <w:color w:val="B45309"/>
                <w:sz w:val="17"/>
                <w:szCs w:val="17"/>
              </w:rPr>
              <w:t xml:space="preserve">VERIFY BEFORE PUBLISHING  </w:t>
            </w:r>
            <w:r>
              <w:rPr>
                <w:rFonts w:ascii="Aptos" w:cs="Aptos" w:eastAsia="Aptos" w:hAnsi="Aptos"/>
                <w:sz w:val="20"/>
                <w:szCs w:val="20"/>
              </w:rPr>
              <w:t xml:space="preserve">The audit-duration answer is extrapolated from the ACT Wind plan (2–3 + 5–6 + 6 + 2–3 days). Confirm you are happy to publish a timeframe at all — it sets an expectation you will be held to. The scope of “captive power plants at industrial sites” is a live question given how many recipients are textile, cement and sugar mills; get that confirmed before anyone answers it on a call.</w:t>
            </w:r>
          </w:p>
        </w:tc>
      </w:tr>
    </w:tbl>
    <w:p>
      <w:r>
        <w:br w:type="page"/>
      </w:r>
    </w:p>
    <w:p>
      <w:pPr>
        <w:pStyle w:val="Heading1"/>
        <w:spacing w:after="160" w:before="360"/>
      </w:pPr>
      <w:r>
        <w:rPr>
          <w:rFonts w:ascii="Aptos" w:cs="Aptos" w:eastAsia="Aptos" w:hAnsi="Aptos"/>
          <w:b/>
          <w:bCs/>
          <w:color w:val="0A1B3D"/>
          <w:sz w:val="32"/>
          <w:szCs w:val="32"/>
        </w:rPr>
        <w:t xml:space="preserve">5. Call to action</w:t>
      </w:r>
    </w:p>
    <w:p>
      <w:pPr>
        <w:spacing w:after="120" w:line="276"/>
      </w:pPr>
      <w:r>
        <w:rPr>
          <w:rFonts w:ascii="Aptos" w:cs="Aptos" w:eastAsia="Aptos" w:hAnsi="Aptos"/>
          <w:sz w:val="21"/>
          <w:szCs w:val="21"/>
        </w:rPr>
        <w:t xml:space="preserve">The CTA repeats three times: in the hero, after the coverage table, and as the closing band. Same phone and email as the printed letter — that consistency is the point.</w:t>
      </w:r>
    </w:p>
    <w:p>
      <w:pPr>
        <w:pStyle w:val="Heading2"/>
        <w:spacing w:after="120" w:before="300"/>
      </w:pPr>
      <w:r>
        <w:rPr>
          <w:rFonts w:ascii="Aptos" w:cs="Aptos" w:eastAsia="Aptos" w:hAnsi="Aptos"/>
          <w:b/>
          <w:bCs/>
          <w:color w:val="0A1B3D"/>
          <w:sz w:val="26"/>
          <w:szCs w:val="26"/>
        </w:rPr>
        <w:t xml:space="preserve">5.1 Closing CTA band</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CLOSING BAND</w:t>
            </w:r>
          </w:p>
          <w:p>
            <w:pPr>
              <w:spacing w:after="60"/>
            </w:pPr>
            <w:r>
              <w:rPr>
                <w:rFonts w:ascii="Aptos" w:cs="Aptos" w:eastAsia="Aptos" w:hAnsi="Aptos"/>
                <w:b/>
                <w:bCs/>
                <w:color w:val="0A1B3D"/>
                <w:sz w:val="24"/>
                <w:szCs w:val="24"/>
              </w:rPr>
              <w:t xml:space="preserve">Secure your assets. Protect the grid.</w:t>
            </w:r>
          </w:p>
          <w:p>
            <w:pPr>
              <w:spacing w:after="60"/>
            </w:pPr>
            <w:r>
              <w:rPr>
                <w:rFonts w:ascii="Aptos" w:cs="Aptos" w:eastAsia="Aptos" w:hAnsi="Aptos"/>
                <w:sz w:val="20"/>
                <w:szCs w:val="20"/>
              </w:rPr>
              <w:t xml:space="preserve">Tell us your licence type and how many sites you run, and we will scope the audit. A first call takes about thirty minutes and costs nothing.</w:t>
            </w:r>
          </w:p>
          <w:p>
            <w:pPr>
              <w:spacing w:after="40" w:before="80"/>
            </w:pPr>
            <w:r>
              <w:rPr>
                <w:rFonts w:ascii="Aptos" w:cs="Aptos" w:eastAsia="Aptos" w:hAnsi="Aptos"/>
                <w:b/>
                <w:bCs/>
                <w:color w:val="1F6FEB"/>
                <w:sz w:val="20"/>
                <w:szCs w:val="20"/>
              </w:rPr>
              <w:t xml:space="preserve">[ Call +92 21 3586 9200 ]</w:t>
            </w:r>
          </w:p>
          <w:p>
            <w:pPr>
              <w:spacing w:after="40" w:before="80"/>
            </w:pPr>
            <w:r>
              <w:rPr>
                <w:rFonts w:ascii="Aptos" w:cs="Aptos" w:eastAsia="Aptos" w:hAnsi="Aptos"/>
                <w:b/>
                <w:bCs/>
                <w:color w:val="1F6FEB"/>
                <w:sz w:val="20"/>
                <w:szCs w:val="20"/>
              </w:rPr>
              <w:t xml:space="preserve">[ Email xsecurity@xloopdigital.com ]</w:t>
            </w:r>
          </w:p>
          <w:p>
            <w:pPr>
              <w:spacing w:after="40"/>
            </w:pPr>
            <w:r>
              <w:rPr>
                <w:rFonts w:ascii="Aptos" w:cs="Aptos" w:eastAsia="Aptos" w:hAnsi="Aptos"/>
                <w:color w:val="5A6472"/>
                <w:sz w:val="18"/>
                <w:szCs w:val="18"/>
              </w:rPr>
              <w:t xml:space="preserve">Compliance. Security. Resilience.</w:t>
            </w:r>
          </w:p>
        </w:tc>
      </w:tr>
    </w:tbl>
    <w:p>
      <w:pPr>
        <w:spacing w:after="120" w:line="276"/>
      </w:pPr>
      <w:r>
        <w:rPr>
          <w:rFonts w:ascii="Aptos" w:cs="Aptos" w:eastAsia="Aptos" w:hAnsi="Aptos"/>
          <w:sz w:val="21"/>
          <w:szCs w:val="21"/>
        </w:rPr>
        <w:t xml:space="preserve">The headline and the closing line are lifted verbatim from the flyer, again for continuity with the letter.</w:t>
      </w:r>
    </w:p>
    <w:p>
      <w:pPr>
        <w:pStyle w:val="Heading2"/>
        <w:spacing w:after="120" w:before="300"/>
      </w:pPr>
      <w:r>
        <w:rPr>
          <w:rFonts w:ascii="Aptos" w:cs="Aptos" w:eastAsia="Aptos" w:hAnsi="Aptos"/>
          <w:b/>
          <w:bCs/>
          <w:color w:val="0A1B3D"/>
          <w:sz w:val="26"/>
          <w:szCs w:val="26"/>
        </w:rPr>
        <w:t xml:space="preserve">5.2 Mid-page CTA — lighter, after the coverage table</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MID-PAGE</w:t>
            </w:r>
          </w:p>
          <w:p>
            <w:pPr>
              <w:spacing w:after="60"/>
            </w:pPr>
            <w:r>
              <w:rPr>
                <w:rFonts w:ascii="Aptos" w:cs="Aptos" w:eastAsia="Aptos" w:hAnsi="Aptos"/>
                <w:sz w:val="20"/>
                <w:szCs w:val="20"/>
              </w:rPr>
              <w:t xml:space="preserve">Not sure which regulations you are already meeting? That is what the scoping call is for.</w:t>
            </w:r>
          </w:p>
          <w:p>
            <w:pPr>
              <w:spacing w:after="40" w:before="80"/>
            </w:pPr>
            <w:r>
              <w:rPr>
                <w:rFonts w:ascii="Aptos" w:cs="Aptos" w:eastAsia="Aptos" w:hAnsi="Aptos"/>
                <w:b/>
                <w:bCs/>
                <w:color w:val="1F6FEB"/>
                <w:sz w:val="20"/>
                <w:szCs w:val="20"/>
              </w:rPr>
              <w:t xml:space="preserve">[ Talk to our NEPRA team → ]</w:t>
            </w:r>
          </w:p>
        </w:tc>
      </w:tr>
    </w:tbl>
    <w:p>
      <w:pPr>
        <w:pStyle w:val="Heading2"/>
        <w:spacing w:after="120" w:before="300"/>
      </w:pPr>
      <w:r>
        <w:rPr>
          <w:rFonts w:ascii="Aptos" w:cs="Aptos" w:eastAsia="Aptos" w:hAnsi="Aptos"/>
          <w:b/>
          <w:bCs/>
          <w:color w:val="0A1B3D"/>
          <w:sz w:val="26"/>
          <w:szCs w:val="26"/>
        </w:rPr>
        <w:t xml:space="preserve">5.3 How the links must be built</w:t>
      </w:r>
    </w:p>
    <w:p>
      <w:pPr>
        <w:pStyle w:val="ListParagraph"/>
        <w:numPr>
          <w:ilvl w:val="0"/>
          <w:numId w:val="3"/>
        </w:numPr>
        <w:spacing w:after="60" w:line="276"/>
      </w:pPr>
      <w:r>
        <w:rPr>
          <w:rFonts w:ascii="Aptos" w:cs="Aptos" w:eastAsia="Aptos" w:hAnsi="Aptos"/>
          <w:b/>
          <w:bCs/>
          <w:sz w:val="21"/>
          <w:szCs w:val="21"/>
        </w:rPr>
        <w:t xml:space="preserve">Phone: </w:t>
      </w:r>
      <w:r>
        <w:rPr>
          <w:rFonts w:ascii="Aptos" w:cs="Aptos" w:eastAsia="Aptos" w:hAnsi="Aptos"/>
          <w:sz w:val="21"/>
          <w:szCs w:val="21"/>
        </w:rPr>
        <w:t xml:space="preserve">href="tel:+922135869200", displayed as +92 21 3586 9200. Use the international form in the href so it dials from a mobile abroad; the flyer’s (021) 35869200 is the same number.</w:t>
      </w:r>
    </w:p>
    <w:p>
      <w:pPr>
        <w:pStyle w:val="ListParagraph"/>
        <w:numPr>
          <w:ilvl w:val="0"/>
          <w:numId w:val="3"/>
        </w:numPr>
        <w:spacing w:after="60" w:line="276"/>
      </w:pPr>
      <w:r>
        <w:rPr>
          <w:rFonts w:ascii="Aptos" w:cs="Aptos" w:eastAsia="Aptos" w:hAnsi="Aptos"/>
          <w:b/>
          <w:bCs/>
          <w:sz w:val="21"/>
          <w:szCs w:val="21"/>
        </w:rPr>
        <w:t xml:space="preserve">Email: </w:t>
      </w:r>
      <w:r>
        <w:rPr>
          <w:rFonts w:ascii="Aptos" w:cs="Aptos" w:eastAsia="Aptos" w:hAnsi="Aptos"/>
          <w:sz w:val="21"/>
          <w:szCs w:val="21"/>
        </w:rPr>
        <w:t xml:space="preserve">href="mailto:xsecurity@xloopdigital.com?subject=NEPRA%20IT%2FOT%20Compliance%20enquiry" — the pre-filled subject is how you will tell campaign replies from ordinary inbound.</w:t>
      </w:r>
    </w:p>
    <w:p>
      <w:pPr>
        <w:pStyle w:val="ListParagraph"/>
        <w:numPr>
          <w:ilvl w:val="0"/>
          <w:numId w:val="3"/>
        </w:numPr>
        <w:spacing w:after="60" w:line="276"/>
      </w:pPr>
      <w:r>
        <w:rPr>
          <w:rFonts w:ascii="Aptos" w:cs="Aptos" w:eastAsia="Aptos" w:hAnsi="Aptos"/>
          <w:b/>
          <w:bCs/>
          <w:sz w:val="21"/>
          <w:szCs w:val="21"/>
        </w:rPr>
        <w:t xml:space="preserve">Both must also appear as plain text on the page. </w:t>
      </w:r>
      <w:r>
        <w:rPr>
          <w:rFonts w:ascii="Aptos" w:cs="Aptos" w:eastAsia="Aptos" w:hAnsi="Aptos"/>
          <w:sz w:val="21"/>
          <w:szCs w:val="21"/>
        </w:rPr>
        <w:t xml:space="preserve">tel: and mailto: hrefs are not readable content to a crawler or an AI agent; the visible digits are.</w:t>
      </w:r>
    </w:p>
    <w:p>
      <w:pPr>
        <w:pStyle w:val="ListParagraph"/>
        <w:numPr>
          <w:ilvl w:val="0"/>
          <w:numId w:val="3"/>
        </w:numPr>
        <w:spacing w:after="60" w:line="276"/>
      </w:pPr>
      <w:r>
        <w:rPr>
          <w:rFonts w:ascii="Aptos" w:cs="Aptos" w:eastAsia="Aptos" w:hAnsi="Aptos"/>
          <w:b/>
          <w:bCs/>
          <w:sz w:val="21"/>
          <w:szCs w:val="21"/>
        </w:rPr>
        <w:t xml:space="preserve">No pop-up, no modal, no interstitial. </w:t>
      </w:r>
      <w:r>
        <w:rPr>
          <w:rFonts w:ascii="Aptos" w:cs="Aptos" w:eastAsia="Aptos" w:hAnsi="Aptos"/>
          <w:sz w:val="21"/>
          <w:szCs w:val="21"/>
        </w:rPr>
        <w:t xml:space="preserve">Google penalises intrusive interstitials on mobile, and an overlay is invisible to an AI agent reading the page. Everything stays inline.</w:t>
      </w:r>
    </w:p>
    <w:p>
      <w:r>
        <w:br w:type="page"/>
      </w:r>
    </w:p>
    <w:p>
      <w:pPr>
        <w:pStyle w:val="Heading1"/>
        <w:spacing w:after="160" w:before="360"/>
      </w:pPr>
      <w:r>
        <w:rPr>
          <w:rFonts w:ascii="Aptos" w:cs="Aptos" w:eastAsia="Aptos" w:hAnsi="Aptos"/>
          <w:b/>
          <w:bCs/>
          <w:color w:val="0A1B3D"/>
          <w:sz w:val="32"/>
          <w:szCs w:val="32"/>
        </w:rPr>
        <w:t xml:space="preserve">6. Correction carried into the web copy</w:t>
      </w:r>
    </w:p>
    <w:p>
      <w:pPr>
        <w:spacing w:after="120" w:line="276"/>
      </w:pPr>
      <w:r>
        <w:rPr>
          <w:rFonts w:ascii="Aptos" w:cs="Aptos" w:eastAsia="Aptos" w:hAnsi="Aptos"/>
          <w:sz w:val="21"/>
          <w:szCs w:val="21"/>
        </w:rPr>
        <w:t xml:space="preserve">You asked for the accurate numbering, so the page differs from the printed flyer in one respect. Recording it here so nobody thinks it is an error.</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2600"/>
        <w:gridCol w:w="2600"/>
        <w:gridCol w:w="3826"/>
      </w:tblGrid>
      <w:tr>
        <w:trPr>
          <w:tblHeader/>
        </w:trPr>
        <w:tc>
          <w:tcPr>
            <w:tcW w:type="dxa" w:w="26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Flyer says</w:t>
            </w:r>
          </w:p>
        </w:tc>
        <w:tc>
          <w:tcPr>
            <w:tcW w:type="dxa" w:w="26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Page says</w:t>
            </w:r>
          </w:p>
        </w:tc>
        <w:tc>
          <w:tcPr>
            <w:tcW w:type="dxa" w:w="38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Why</w:t>
            </w:r>
          </w:p>
        </w:tc>
      </w:tr>
      <w:tr>
        <w:tc>
          <w:tcPr>
            <w:tcW w:type="dxa" w:w="2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NEPRA Compliance Audit — Section 1–9</w:t>
            </w:r>
          </w:p>
        </w:tc>
        <w:tc>
          <w:tcPr>
            <w:tcW w:type="dxa" w:w="26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NEPRA Compliance Audit — Regulations 4–11</w:t>
            </w:r>
          </w:p>
        </w:tc>
        <w:tc>
          <w:tcPr>
            <w:tcW w:type="dxa" w:w="38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The operative obligations sit in Regulations 4 to 11. Regulations 1–3 are title, commencement and definitions.</w:t>
            </w:r>
          </w:p>
        </w:tc>
      </w:tr>
      <w:tr>
        <w:tc>
          <w:tcPr>
            <w:tcW w:type="dxa" w:w="2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Policy Framework — Clause 4</w:t>
            </w:r>
          </w:p>
        </w:tc>
        <w:tc>
          <w:tcPr>
            <w:tcW w:type="dxa" w:w="26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Policy Framework — Regulation 4</w:t>
            </w:r>
          </w:p>
        </w:tc>
        <w:tc>
          <w:tcPr>
            <w:tcW w:type="dxa" w:w="38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Correct number; the instrument uses “regulation”, not “clause”.</w:t>
            </w:r>
          </w:p>
        </w:tc>
      </w:tr>
      <w:tr>
        <w:tc>
          <w:tcPr>
            <w:tcW w:type="dxa" w:w="2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VAPT Services — Clause 6</w:t>
            </w:r>
          </w:p>
        </w:tc>
        <w:tc>
          <w:tcPr>
            <w:tcW w:type="dxa" w:w="26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VAPT Services — Regulation 6</w:t>
            </w:r>
          </w:p>
        </w:tc>
        <w:tc>
          <w:tcPr>
            <w:tcW w:type="dxa" w:w="38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Correct number, corrected terminology.</w:t>
            </w:r>
          </w:p>
        </w:tc>
      </w:tr>
      <w:tr>
        <w:tc>
          <w:tcPr>
            <w:tcW w:type="dxa" w:w="2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Cybersecurity Training — Clause 10</w:t>
            </w:r>
          </w:p>
        </w:tc>
        <w:tc>
          <w:tcPr>
            <w:tcW w:type="dxa" w:w="26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Cybersecurity Training — Regulation 10</w:t>
            </w:r>
          </w:p>
        </w:tc>
        <w:tc>
          <w:tcPr>
            <w:tcW w:type="dxa" w:w="38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Correct number, corrected terminology.</w:t>
            </w:r>
          </w:p>
        </w:tc>
      </w:tr>
    </w:tbl>
    <w:p>
      <w:pPr>
        <w:spacing w:after="160"/>
      </w:pPr>
      <w:r>
        <w:rPr>
          <w:rFonts w:ascii="Aptos" w:cs="Aptos" w:eastAsia="Aptos" w:hAnsi="Aptos"/>
          <w:sz w:val="21"/>
          <w:szCs w:val="21"/>
        </w:rPr>
        <w:t xml:space="preserve"/>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r>
              <w:rPr>
                <w:rFonts w:ascii="Aptos" w:cs="Aptos" w:eastAsia="Aptos" w:hAnsi="Aptos"/>
                <w:b/>
                <w:bCs/>
                <w:sz w:val="20"/>
                <w:szCs w:val="20"/>
              </w:rPr>
              <w:t xml:space="preserve">If anyone asks why the web page and the letter differ: </w:t>
            </w:r>
            <w:r>
              <w:rPr>
                <w:rFonts w:ascii="Aptos" w:cs="Aptos" w:eastAsia="Aptos" w:hAnsi="Aptos"/>
                <w:sz w:val="20"/>
                <w:szCs w:val="20"/>
              </w:rPr>
              <w:t xml:space="preserve">the audience is engineers and executives at licensed power companies who work with these regulations. Being precise is the credibility play. Nobody will notice the correction; a wrong regulation number, on the other hand, is exactly the kind of thing a plant IT manager notices and mentions.</w:t>
            </w:r>
          </w:p>
        </w:tc>
      </w:tr>
    </w:tbl>
    <w:p>
      <w:pPr>
        <w:pStyle w:val="Heading1"/>
        <w:spacing w:after="160" w:before="360"/>
      </w:pPr>
      <w:r>
        <w:rPr>
          <w:rFonts w:ascii="Aptos" w:cs="Aptos" w:eastAsia="Aptos" w:hAnsi="Aptos"/>
          <w:b/>
          <w:bCs/>
          <w:color w:val="0A1B3D"/>
          <w:sz w:val="32"/>
          <w:szCs w:val="32"/>
        </w:rPr>
        <w:t xml:space="preserve">7. Page metadata</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TITLE TAG (62 CHARACTERS)</w:t>
            </w:r>
          </w:p>
          <w:p>
            <w:pPr>
              <w:spacing w:after="60"/>
            </w:pPr>
            <w:r>
              <w:rPr>
                <w:rFonts w:ascii="Aptos" w:cs="Aptos" w:eastAsia="Aptos" w:hAnsi="Aptos"/>
                <w:sz w:val="20"/>
                <w:szCs w:val="20"/>
              </w:rPr>
              <w:t xml:space="preserve">NEPRA IT/OT Compliance Services | Audit &amp; VAPT | xLoop Digital</w:t>
            </w:r>
          </w:p>
        </w:tc>
      </w:tr>
    </w:tbl>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META DESCRIPTION (157 CHARACTERS)</w:t>
            </w:r>
          </w:p>
          <w:p>
            <w:pPr>
              <w:spacing w:after="60"/>
            </w:pPr>
            <w:r>
              <w:rPr>
                <w:rFonts w:ascii="Aptos" w:cs="Aptos" w:eastAsia="Aptos" w:hAnsi="Aptos"/>
                <w:sz w:val="20"/>
                <w:szCs w:val="20"/>
              </w:rPr>
              <w:t xml:space="preserve">Independent NEPRA IT/OT compliance audits for Pakistan’s power sector. Clause-by-clause assessment against Regulations 4–11, VAPT, policy and training.</w:t>
            </w:r>
          </w:p>
        </w:tc>
      </w:tr>
    </w:tbl>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H1 (EXACTLY ONE ON THE PAGE)</w:t>
            </w:r>
          </w:p>
          <w:p>
            <w:pPr>
              <w:spacing w:after="60"/>
            </w:pPr>
            <w:r>
              <w:rPr>
                <w:rFonts w:ascii="Aptos" w:cs="Aptos" w:eastAsia="Aptos" w:hAnsi="Aptos"/>
                <w:sz w:val="20"/>
                <w:szCs w:val="20"/>
              </w:rPr>
              <w:t xml:space="preserve">NEPRA IT/OT Regulatory Compliance Services</w:t>
            </w:r>
          </w:p>
        </w:tc>
      </w:tr>
    </w:tbl>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pPr>
              <w:spacing w:after="100"/>
            </w:pPr>
            <w:r>
              <w:rPr>
                <w:rFonts w:ascii="Aptos" w:cs="Aptos" w:eastAsia="Aptos" w:hAnsi="Aptos"/>
                <w:b/>
                <w:bCs/>
                <w:color w:val="5A6472"/>
                <w:spacing w:val="30"/>
                <w:sz w:val="15"/>
                <w:szCs w:val="15"/>
              </w:rPr>
              <w:t xml:space="preserve">OPEN GRAPH / SOCIAL</w:t>
            </w:r>
          </w:p>
          <w:p>
            <w:pPr>
              <w:spacing w:after="60"/>
            </w:pPr>
            <w:r>
              <w:rPr>
                <w:rFonts w:ascii="Aptos" w:cs="Aptos" w:eastAsia="Aptos" w:hAnsi="Aptos"/>
                <w:sz w:val="20"/>
                <w:szCs w:val="20"/>
              </w:rPr>
              <w:t xml:space="preserve">og:title — NEPRA IT/OT Regulatory Compliance Services</w:t>
            </w:r>
          </w:p>
          <w:p>
            <w:pPr>
              <w:spacing w:after="60"/>
            </w:pPr>
            <w:r>
              <w:rPr>
                <w:rFonts w:ascii="Aptos" w:cs="Aptos" w:eastAsia="Aptos" w:hAnsi="Aptos"/>
                <w:sz w:val="20"/>
                <w:szCs w:val="20"/>
              </w:rPr>
              <w:t xml:space="preserve">og:description — Audit, VAPT, policy and training for NEPRA licensees, against the Security of IT &amp; OT Regulations, 2022.</w:t>
            </w:r>
          </w:p>
          <w:p>
            <w:pPr>
              <w:spacing w:after="40"/>
            </w:pPr>
            <w:r>
              <w:rPr>
                <w:rFonts w:ascii="Aptos" w:cs="Aptos" w:eastAsia="Aptos" w:hAnsi="Aptos"/>
                <w:color w:val="5A6472"/>
                <w:sz w:val="18"/>
                <w:szCs w:val="18"/>
              </w:rPr>
              <w:t xml:space="preserve">og:image — a purpose-built 1200×630 image. Not the flyer: it is portrait, and it will crop badly.</w:t>
            </w:r>
          </w:p>
        </w:tc>
      </w:tr>
    </w:tbl>
    <w:p>
      <w:pPr>
        <w:pStyle w:val="Heading3"/>
        <w:spacing w:after="100" w:before="220"/>
      </w:pPr>
      <w:r>
        <w:rPr>
          <w:rFonts w:ascii="Aptos" w:cs="Aptos" w:eastAsia="Aptos" w:hAnsi="Aptos"/>
          <w:b/>
          <w:bCs/>
          <w:color w:val="1F6FEB"/>
          <w:sz w:val="22"/>
          <w:szCs w:val="22"/>
        </w:rPr>
        <w:t xml:space="preserve">Structured data to add</w:t>
      </w:r>
    </w:p>
    <w:p>
      <w:pPr>
        <w:pStyle w:val="ListParagraph"/>
        <w:numPr>
          <w:ilvl w:val="0"/>
          <w:numId w:val="3"/>
        </w:numPr>
        <w:spacing w:after="60" w:line="276"/>
      </w:pPr>
      <w:r>
        <w:rPr>
          <w:rFonts w:ascii="Aptos" w:cs="Aptos" w:eastAsia="Aptos" w:hAnsi="Aptos"/>
          <w:b/>
          <w:bCs/>
          <w:sz w:val="21"/>
          <w:szCs w:val="21"/>
        </w:rPr>
        <w:t xml:space="preserve">Service </w:t>
      </w:r>
      <w:r>
        <w:rPr>
          <w:rFonts w:ascii="Aptos" w:cs="Aptos" w:eastAsia="Aptos" w:hAnsi="Aptos"/>
          <w:sz w:val="21"/>
          <w:szCs w:val="21"/>
        </w:rPr>
        <w:t xml:space="preserve">— name, provider, areaServed “PK”, serviceType “Regulatory compliance audit”, and the four services as an offer catalogue.</w:t>
      </w:r>
    </w:p>
    <w:p>
      <w:pPr>
        <w:pStyle w:val="ListParagraph"/>
        <w:numPr>
          <w:ilvl w:val="0"/>
          <w:numId w:val="3"/>
        </w:numPr>
        <w:spacing w:after="60" w:line="276"/>
      </w:pPr>
      <w:r>
        <w:rPr>
          <w:rFonts w:ascii="Aptos" w:cs="Aptos" w:eastAsia="Aptos" w:hAnsi="Aptos"/>
          <w:b/>
          <w:bCs/>
          <w:sz w:val="21"/>
          <w:szCs w:val="21"/>
        </w:rPr>
        <w:t xml:space="preserve">FAQPage </w:t>
      </w:r>
      <w:r>
        <w:rPr>
          <w:rFonts w:ascii="Aptos" w:cs="Aptos" w:eastAsia="Aptos" w:hAnsi="Aptos"/>
          <w:sz w:val="21"/>
          <w:szCs w:val="21"/>
        </w:rPr>
        <w:t xml:space="preserve">— the six questions in section 4.9, verbatim.</w:t>
      </w:r>
    </w:p>
    <w:p>
      <w:pPr>
        <w:pStyle w:val="ListParagraph"/>
        <w:numPr>
          <w:ilvl w:val="0"/>
          <w:numId w:val="3"/>
        </w:numPr>
        <w:spacing w:after="60" w:line="276"/>
      </w:pPr>
      <w:r>
        <w:rPr>
          <w:rFonts w:ascii="Aptos" w:cs="Aptos" w:eastAsia="Aptos" w:hAnsi="Aptos"/>
          <w:b/>
          <w:bCs/>
          <w:sz w:val="21"/>
          <w:szCs w:val="21"/>
        </w:rPr>
        <w:t xml:space="preserve">BreadcrumbList </w:t>
      </w:r>
      <w:r>
        <w:rPr>
          <w:rFonts w:ascii="Aptos" w:cs="Aptos" w:eastAsia="Aptos" w:hAnsi="Aptos"/>
          <w:sz w:val="21"/>
          <w:szCs w:val="21"/>
        </w:rPr>
        <w:t xml:space="preserve">— Home › Services › NEPRA IT/OT Compliance.</w:t>
      </w:r>
    </w:p>
    <w:p>
      <w:pPr>
        <w:pStyle w:val="Heading3"/>
        <w:spacing w:after="100" w:before="220"/>
      </w:pPr>
      <w:r>
        <w:rPr>
          <w:rFonts w:ascii="Aptos" w:cs="Aptos" w:eastAsia="Aptos" w:hAnsi="Aptos"/>
          <w:b/>
          <w:bCs/>
          <w:color w:val="1F6FEB"/>
          <w:sz w:val="22"/>
          <w:szCs w:val="22"/>
        </w:rPr>
        <w:t xml:space="preserve">Terms this page should rank for</w:t>
      </w:r>
    </w:p>
    <w:p>
      <w:pPr>
        <w:spacing w:after="120" w:line="276"/>
      </w:pPr>
      <w:r>
        <w:rPr>
          <w:rFonts w:ascii="Aptos" w:cs="Aptos" w:eastAsia="Aptos" w:hAnsi="Aptos"/>
          <w:sz w:val="21"/>
          <w:szCs w:val="21"/>
        </w:rPr>
        <w:t xml:space="preserve">There is very little strong Pakistani competition for these, which is the real argument for keeping the page permanently:</w:t>
      </w:r>
    </w:p>
    <w:p>
      <w:pPr>
        <w:pStyle w:val="ListParagraph"/>
        <w:numPr>
          <w:ilvl w:val="0"/>
          <w:numId w:val="3"/>
        </w:numPr>
        <w:spacing w:after="60" w:line="276"/>
      </w:pPr>
      <w:r>
        <w:rPr>
          <w:rFonts w:ascii="Aptos" w:cs="Aptos" w:eastAsia="Aptos" w:hAnsi="Aptos"/>
          <w:sz w:val="21"/>
          <w:szCs w:val="21"/>
        </w:rPr>
        <w:t xml:space="preserve">NEPRA IT OT compliance / NEPRA cybersecurity regulations 2022</w:t>
      </w:r>
    </w:p>
    <w:p>
      <w:pPr>
        <w:pStyle w:val="ListParagraph"/>
        <w:numPr>
          <w:ilvl w:val="0"/>
          <w:numId w:val="3"/>
        </w:numPr>
        <w:spacing w:after="60" w:line="276"/>
      </w:pPr>
      <w:r>
        <w:rPr>
          <w:rFonts w:ascii="Aptos" w:cs="Aptos" w:eastAsia="Aptos" w:hAnsi="Aptos"/>
          <w:sz w:val="21"/>
          <w:szCs w:val="21"/>
        </w:rPr>
        <w:t xml:space="preserve">NEPRA compliance audit / NEPRA IT OT audit</w:t>
      </w:r>
    </w:p>
    <w:p>
      <w:pPr>
        <w:pStyle w:val="ListParagraph"/>
        <w:numPr>
          <w:ilvl w:val="0"/>
          <w:numId w:val="3"/>
        </w:numPr>
        <w:spacing w:after="60" w:line="276"/>
      </w:pPr>
      <w:r>
        <w:rPr>
          <w:rFonts w:ascii="Aptos" w:cs="Aptos" w:eastAsia="Aptos" w:hAnsi="Aptos"/>
          <w:sz w:val="21"/>
          <w:szCs w:val="21"/>
        </w:rPr>
        <w:t xml:space="preserve">power sector cybersecurity Pakistan / SCADA security audit Pakistan</w:t>
      </w:r>
    </w:p>
    <w:p>
      <w:pPr>
        <w:pStyle w:val="ListParagraph"/>
        <w:numPr>
          <w:ilvl w:val="0"/>
          <w:numId w:val="3"/>
        </w:numPr>
        <w:spacing w:after="60" w:line="276"/>
      </w:pPr>
      <w:r>
        <w:rPr>
          <w:rFonts w:ascii="Aptos" w:cs="Aptos" w:eastAsia="Aptos" w:hAnsi="Aptos"/>
          <w:sz w:val="21"/>
          <w:szCs w:val="21"/>
        </w:rPr>
        <w:t xml:space="preserve">OT penetration testing Pakistan / IEC 62443 Pakistan</w:t>
      </w:r>
    </w:p>
    <w:p>
      <w:pPr>
        <w:pStyle w:val="Heading1"/>
        <w:spacing w:after="160" w:before="360"/>
      </w:pPr>
      <w:r>
        <w:rPr>
          <w:rFonts w:ascii="Aptos" w:cs="Aptos" w:eastAsia="Aptos" w:hAnsi="Aptos"/>
          <w:b/>
          <w:bCs/>
          <w:color w:val="0A1B3D"/>
          <w:sz w:val="32"/>
          <w:szCs w:val="32"/>
        </w:rPr>
        <w:t xml:space="preserve">8. Day-30 removal runbook</w:t>
      </w:r>
    </w:p>
    <w:p>
      <w:pPr>
        <w:pStyle w:val="Heading3"/>
        <w:spacing w:after="100" w:before="220"/>
      </w:pPr>
      <w:r>
        <w:rPr>
          <w:rFonts w:ascii="Aptos" w:cs="Aptos" w:eastAsia="Aptos" w:hAnsi="Aptos"/>
          <w:b/>
          <w:bCs/>
          <w:color w:val="1F6FEB"/>
          <w:sz w:val="22"/>
          <w:szCs w:val="22"/>
        </w:rPr>
        <w:t xml:space="preserve">What comes down</w:t>
      </w:r>
    </w:p>
    <w:p>
      <w:pPr>
        <w:pStyle w:val="ListParagraph"/>
        <w:numPr>
          <w:ilvl w:val="0"/>
          <w:numId w:val="3"/>
        </w:numPr>
        <w:spacing w:after="60" w:line="276"/>
      </w:pPr>
      <w:r>
        <w:rPr>
          <w:rFonts w:ascii="Aptos" w:cs="Aptos" w:eastAsia="Aptos" w:hAnsi="Aptos"/>
          <w:sz w:val="21"/>
          <w:szCs w:val="21"/>
        </w:rPr>
        <w:t xml:space="preserve">The announcement ribbon (3A), and the hero badge if A3 was used. That is all.</w:t>
      </w:r>
    </w:p>
    <w:p>
      <w:pPr>
        <w:pStyle w:val="Heading3"/>
        <w:spacing w:after="100" w:before="220"/>
      </w:pPr>
      <w:r>
        <w:rPr>
          <w:rFonts w:ascii="Aptos" w:cs="Aptos" w:eastAsia="Aptos" w:hAnsi="Aptos"/>
          <w:b/>
          <w:bCs/>
          <w:color w:val="1F6FEB"/>
          <w:sz w:val="22"/>
          <w:szCs w:val="22"/>
        </w:rPr>
        <w:t xml:space="preserve">What stays, and why</w:t>
      </w:r>
    </w:p>
    <w:p>
      <w:pPr>
        <w:pStyle w:val="ListParagraph"/>
        <w:numPr>
          <w:ilvl w:val="0"/>
          <w:numId w:val="3"/>
        </w:numPr>
        <w:spacing w:after="60" w:line="276"/>
      </w:pPr>
      <w:r>
        <w:rPr>
          <w:rFonts w:ascii="Aptos" w:cs="Aptos" w:eastAsia="Aptos" w:hAnsi="Aptos"/>
          <w:b/>
          <w:bCs/>
          <w:sz w:val="21"/>
          <w:szCs w:val="21"/>
        </w:rPr>
        <w:t xml:space="preserve">The landing page. </w:t>
      </w:r>
      <w:r>
        <w:rPr>
          <w:rFonts w:ascii="Aptos" w:cs="Aptos" w:eastAsia="Aptos" w:hAnsi="Aptos"/>
          <w:sz w:val="21"/>
          <w:szCs w:val="21"/>
        </w:rPr>
        <w:t xml:space="preserve">87 letters point at this URL. Letters get filed, forwarded and acted on months later. A 404 in week six is the worst possible outcome of a campaign that has already been paid for.</w:t>
      </w:r>
    </w:p>
    <w:p>
      <w:pPr>
        <w:pStyle w:val="ListParagraph"/>
        <w:numPr>
          <w:ilvl w:val="0"/>
          <w:numId w:val="3"/>
        </w:numPr>
        <w:spacing w:after="60" w:line="276"/>
      </w:pPr>
      <w:r>
        <w:rPr>
          <w:rFonts w:ascii="Aptos" w:cs="Aptos" w:eastAsia="Aptos" w:hAnsi="Aptos"/>
          <w:b/>
          <w:bCs/>
          <w:sz w:val="21"/>
          <w:szCs w:val="21"/>
        </w:rPr>
        <w:t xml:space="preserve">The NEPRA band (3B). </w:t>
      </w:r>
      <w:r>
        <w:rPr>
          <w:rFonts w:ascii="Aptos" w:cs="Aptos" w:eastAsia="Aptos" w:hAnsi="Aptos"/>
          <w:sz w:val="21"/>
          <w:szCs w:val="21"/>
        </w:rPr>
        <w:t xml:space="preserve">It is the homepage’s internal link to the page, which is what makes the page rank at all.</w:t>
      </w:r>
    </w:p>
    <w:p>
      <w:pPr>
        <w:pStyle w:val="ListParagraph"/>
        <w:numPr>
          <w:ilvl w:val="0"/>
          <w:numId w:val="3"/>
        </w:numPr>
        <w:spacing w:after="60" w:line="276"/>
      </w:pPr>
      <w:r>
        <w:rPr>
          <w:rFonts w:ascii="Aptos" w:cs="Aptos" w:eastAsia="Aptos" w:hAnsi="Aptos"/>
          <w:b/>
          <w:bCs/>
          <w:sz w:val="21"/>
          <w:szCs w:val="21"/>
        </w:rPr>
        <w:t xml:space="preserve">The capability chip (3C). </w:t>
      </w:r>
      <w:r>
        <w:rPr>
          <w:rFonts w:ascii="Aptos" w:cs="Aptos" w:eastAsia="Aptos" w:hAnsi="Aptos"/>
          <w:sz w:val="21"/>
          <w:szCs w:val="21"/>
        </w:rPr>
        <w:t xml:space="preserve">Costs nothing, says something true.</w:t>
      </w:r>
    </w:p>
    <w:p>
      <w:pPr>
        <w:pStyle w:val="Heading3"/>
        <w:spacing w:after="100" w:before="220"/>
      </w:pPr>
      <w:r>
        <w:rPr>
          <w:rFonts w:ascii="Aptos" w:cs="Aptos" w:eastAsia="Aptos" w:hAnsi="Aptos"/>
          <w:b/>
          <w:bCs/>
          <w:color w:val="1F6FEB"/>
          <w:sz w:val="22"/>
          <w:szCs w:val="22"/>
        </w:rPr>
        <w:t xml:space="preserve">If the CEO still wants everything removed</w:t>
      </w:r>
    </w:p>
    <w:p>
      <w:pPr>
        <w:spacing w:after="120" w:line="276"/>
      </w:pPr>
      <w:r>
        <w:rPr>
          <w:rFonts w:ascii="Aptos" w:cs="Aptos" w:eastAsia="Aptos" w:hAnsi="Aptos"/>
          <w:sz w:val="21"/>
          <w:szCs w:val="21"/>
        </w:rPr>
        <w:t xml:space="preserve">Then do it in this order, and understand the cost:</w:t>
      </w:r>
    </w:p>
    <w:p>
      <w:pPr>
        <w:pStyle w:val="ListParagraph"/>
        <w:numPr>
          <w:ilvl w:val="0"/>
          <w:numId w:val="2"/>
        </w:numPr>
        <w:spacing w:after="60" w:line="276"/>
      </w:pPr>
      <w:r>
        <w:rPr>
          <w:rFonts w:ascii="Aptos" w:cs="Aptos" w:eastAsia="Aptos" w:hAnsi="Aptos"/>
          <w:sz w:val="21"/>
          <w:szCs w:val="21"/>
        </w:rPr>
        <w:t xml:space="preserve">Keep the page live but remove it from the homepage. Ranking decays slowly; the letter URL still resolves.</w:t>
      </w:r>
    </w:p>
    <w:p>
      <w:pPr>
        <w:pStyle w:val="ListParagraph"/>
        <w:numPr>
          <w:ilvl w:val="0"/>
          <w:numId w:val="2"/>
        </w:numPr>
        <w:spacing w:after="60" w:line="276"/>
      </w:pPr>
      <w:r>
        <w:rPr>
          <w:rFonts w:ascii="Aptos" w:cs="Aptos" w:eastAsia="Aptos" w:hAnsi="Aptos"/>
          <w:sz w:val="21"/>
          <w:szCs w:val="21"/>
        </w:rPr>
        <w:t xml:space="preserve">If the page itself must go, 301-redirect /services/nepra-it-ot-compliance to /services/cyber-security-service and hold the redirect for at least twelve months. Never delete without a redirect.</w:t>
      </w:r>
    </w:p>
    <w:p>
      <w:pPr>
        <w:pStyle w:val="ListParagraph"/>
        <w:numPr>
          <w:ilvl w:val="0"/>
          <w:numId w:val="2"/>
        </w:numPr>
        <w:spacing w:after="60" w:line="276"/>
      </w:pPr>
      <w:r>
        <w:rPr>
          <w:rFonts w:ascii="Aptos" w:cs="Aptos" w:eastAsia="Aptos" w:hAnsi="Aptos"/>
          <w:sz w:val="21"/>
          <w:szCs w:val="21"/>
        </w:rPr>
        <w:t xml:space="preserve">Do not use noindex as a substitute for a redirect — it strands the letter recipients and loses the equity at the same time.</w:t>
      </w:r>
    </w:p>
    <w:tbl>
      <w:tblPr>
        <w:tblW w:type="dxa" w:w="9026"/>
        <w:tblBorders>
          <w:top w:val="single" w:color="F2F5FA" w:sz="2"/>
          <w:left w:val="single" w:color="1F6FEB" w:sz="18"/>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60"/>
              <w:left w:type="dxa" w:w="220"/>
              <w:bottom w:type="dxa" w:w="160"/>
              <w:right w:type="dxa" w:w="220"/>
            </w:tcMar>
          </w:tcPr>
          <w:p>
            <w:r>
              <w:rPr>
                <w:rFonts w:ascii="Aptos" w:cs="Aptos" w:eastAsia="Aptos" w:hAnsi="Aptos"/>
                <w:b/>
                <w:bCs/>
                <w:sz w:val="20"/>
                <w:szCs w:val="20"/>
              </w:rPr>
              <w:t xml:space="preserve">The case for keeping it, in one line: </w:t>
            </w:r>
            <w:r>
              <w:rPr>
                <w:rFonts w:ascii="Aptos" w:cs="Aptos" w:eastAsia="Aptos" w:hAnsi="Aptos"/>
                <w:sz w:val="20"/>
                <w:szCs w:val="20"/>
              </w:rPr>
              <w:t xml:space="preserve">the mailing has already cost print and postage for 87 companies. The page is the only asset from this campaign that keeps working after the postage is spent — and it is competing for search terms almost nobody in Pakistan is currently targeting.</w:t>
            </w:r>
          </w:p>
        </w:tc>
      </w:tr>
    </w:tbl>
    <w:p>
      <w:pPr>
        <w:pStyle w:val="Heading1"/>
        <w:spacing w:after="160" w:before="360"/>
      </w:pPr>
      <w:r>
        <w:rPr>
          <w:rFonts w:ascii="Aptos" w:cs="Aptos" w:eastAsia="Aptos" w:hAnsi="Aptos"/>
          <w:b/>
          <w:bCs/>
          <w:color w:val="0A1B3D"/>
          <w:sz w:val="32"/>
          <w:szCs w:val="32"/>
        </w:rPr>
        <w:t xml:space="preserve">9. Open items before publishing</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600"/>
        <w:gridCol w:w="6226"/>
        <w:gridCol w:w="2200"/>
      </w:tblGrid>
      <w:tr>
        <w:trPr>
          <w:tblHeader/>
        </w:trPr>
        <w:tc>
          <w:tcPr>
            <w:tcW w:type="dxa" w:w="6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t>
            </w:r>
          </w:p>
        </w:tc>
        <w:tc>
          <w:tcPr>
            <w:tcW w:type="dxa" w:w="62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Item</w:t>
            </w:r>
          </w:p>
        </w:tc>
        <w:tc>
          <w:tcPr>
            <w:tcW w:type="dxa" w:w="22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Owner</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1</w:t>
            </w:r>
          </w:p>
        </w:tc>
        <w:tc>
          <w:tcPr>
            <w:tcW w:type="dxa" w:w="62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Confirm the gazetted short title of the regulations and use it consistently.</w:t>
            </w:r>
          </w:p>
        </w:tc>
        <w:tc>
          <w:tcPr>
            <w:tcW w:type="dxa" w:w="2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practice</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2</w:t>
            </w:r>
          </w:p>
        </w:tc>
        <w:tc>
          <w:tcPr>
            <w:tcW w:type="dxa" w:w="62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Confirm the 72-hour significant-incident reporting deadline against the gazetted text.</w:t>
            </w:r>
          </w:p>
        </w:tc>
        <w:tc>
          <w:tcPr>
            <w:tcW w:type="dxa" w:w="22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practice</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3</w:t>
            </w:r>
          </w:p>
        </w:tc>
        <w:tc>
          <w:tcPr>
            <w:tcW w:type="dxa" w:w="62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Confirm the anonymised “30 MW wind IPP” reference is permitted under the engagement terms.</w:t>
            </w:r>
          </w:p>
        </w:tc>
        <w:tc>
          <w:tcPr>
            <w:tcW w:type="dxa" w:w="2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Legal / account owner</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4</w:t>
            </w:r>
          </w:p>
        </w:tc>
        <w:tc>
          <w:tcPr>
            <w:tcW w:type="dxa" w:w="62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Decide whether to state NIST / IEC 62443 / MITRE ATT&amp;CK methodology alignment.</w:t>
            </w:r>
          </w:p>
        </w:tc>
        <w:tc>
          <w:tcPr>
            <w:tcW w:type="dxa" w:w="22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practice</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5</w:t>
            </w:r>
          </w:p>
        </w:tc>
        <w:tc>
          <w:tcPr>
            <w:tcW w:type="dxa" w:w="62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Confirm whether captive power plants at industrial sites fall within licensee obligations.</w:t>
            </w:r>
          </w:p>
        </w:tc>
        <w:tc>
          <w:tcPr>
            <w:tcW w:type="dxa" w:w="2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practice</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6</w:t>
            </w:r>
          </w:p>
        </w:tc>
        <w:tc>
          <w:tcPr>
            <w:tcW w:type="dxa" w:w="62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Decide whether to publish an audit duration at all.</w:t>
            </w:r>
          </w:p>
        </w:tc>
        <w:tc>
          <w:tcPr>
            <w:tcW w:type="dxa" w:w="22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Sales</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7</w:t>
            </w:r>
          </w:p>
        </w:tc>
        <w:tc>
          <w:tcPr>
            <w:tcW w:type="dxa" w:w="62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Produce a 1200×630 OG image — do not reuse the flyer.</w:t>
            </w:r>
          </w:p>
        </w:tc>
        <w:tc>
          <w:tcPr>
            <w:tcW w:type="dxa" w:w="2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Design</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8</w:t>
            </w:r>
          </w:p>
        </w:tc>
        <w:tc>
          <w:tcPr>
            <w:tcW w:type="dxa" w:w="62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Set a calendar reminder to remove the ribbon on the agreed date.</w:t>
            </w:r>
          </w:p>
        </w:tc>
        <w:tc>
          <w:tcPr>
            <w:tcW w:type="dxa" w:w="22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Web team</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A6472"/>
        <w:sz w:val="16"/>
        <w:szCs w:val="16"/>
      </w:rPr>
      <w:t xml:space="preserve">Draft — 25 Aug 2026    </w:t>
    </w:r>
    <w:r>
      <w:rPr>
        <w:rFonts w:ascii="Aptos" w:cs="Aptos" w:eastAsia="Aptos" w:hAnsi="Aptos"/>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4"/>
      </w:pBdr>
      <w:spacing w:after="60"/>
      <w:jc w:val="right"/>
    </w:pPr>
    <w:r>
      <w:rPr>
        <w:rFonts w:ascii="Aptos" w:cs="Aptos" w:eastAsia="Aptos" w:hAnsi="Aptos"/>
        <w:color w:val="5A6472"/>
        <w:sz w:val="16"/>
        <w:szCs w:val="16"/>
      </w:rPr>
      <w:t xml:space="preserve">xLoop Digital  ·  NEPRA IT/OT Compliance — Website Copy Deck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NEPRA IT/OT Compliance — Website Copy Deck</dc:title>
  <dc:creator>xLoop Digital</dc:creator>
  <dc:description>Homepage, landing page and CTA copy for the NEPRA compliance campaign</dc:description>
  <cp:lastModifiedBy>Un-named</cp:lastModifiedBy>
  <cp:revision>1</cp:revision>
  <dcterms:created xsi:type="dcterms:W3CDTF">2026-08-25T12:05:45.596Z</dcterms:created>
  <dcterms:modified xsi:type="dcterms:W3CDTF">2026-08-25T12:05:45.597Z</dcterms:modified>
</cp:coreProperties>
</file>

<file path=docProps/custom.xml><?xml version="1.0" encoding="utf-8"?>
<Properties xmlns="http://schemas.openxmlformats.org/officeDocument/2006/custom-properties" xmlns:vt="http://schemas.openxmlformats.org/officeDocument/2006/docPropsVTypes"/>
</file>