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ptos" w:cs="Aptos" w:eastAsia="Aptos" w:hAnsi="Aptos"/>
          <w:b/>
          <w:bCs/>
          <w:color w:val="0E9A8D"/>
          <w:spacing w:val="60"/>
          <w:sz w:val="20"/>
          <w:szCs w:val="20"/>
        </w:rPr>
        <w:t xml:space="preserve">POWER ⚡ SECURE</w:t>
      </w:r>
    </w:p>
    <w:p>
      <w:pPr>
        <w:spacing w:after="70"/>
      </w:pPr>
      <w:r>
        <w:rPr>
          <w:rFonts w:ascii="Aptos" w:cs="Aptos" w:eastAsia="Aptos" w:hAnsi="Aptos"/>
          <w:b/>
          <w:bCs/>
          <w:color w:val="0A1B3D"/>
          <w:sz w:val="52"/>
          <w:szCs w:val="52"/>
        </w:rPr>
        <w:t xml:space="preserve">NEPRA Landing Page</w:t>
      </w:r>
    </w:p>
    <w:p>
      <w:pPr>
        <w:spacing w:after="60"/>
      </w:pPr>
      <w:r>
        <w:rPr>
          <w:rFonts w:ascii="Aptos" w:cs="Aptos" w:eastAsia="Aptos" w:hAnsi="Aptos"/>
          <w:color w:val="1F6FEB"/>
          <w:sz w:val="28"/>
          <w:szCs w:val="28"/>
        </w:rPr>
        <w:t xml:space="preserve">Final content &amp; build notes</w:t>
      </w:r>
    </w:p>
    <w:p>
      <w:pPr>
        <w:spacing w:after="240"/>
      </w:pPr>
      <w:r>
        <w:rPr>
          <w:rFonts w:ascii="Consolas" w:cs="Consolas" w:eastAsia="Consolas" w:hAnsi="Consolas"/>
          <w:color w:val="5A6472"/>
          <w:sz w:val="20"/>
          <w:szCs w:val="20"/>
        </w:rPr>
        <w:t xml:space="preserve">/services/nepra-it-ot-compliance</w:t>
      </w:r>
    </w:p>
    <w:p>
      <w:pPr>
        <w:pBdr>
          <w:bottom w:val="single" w:color="D5DCE6" w:sz="6"/>
        </w:pBdr>
        <w:spacing w:after="140" w:before="100"/>
      </w:pPr>
      <w:r>
        <w:rPr>
          <w:rFonts w:ascii="Aptos" w:cs="Aptos" w:eastAsia="Aptos" w:hAnsi="Aptos"/>
          <w:sz w:val="21"/>
          <w:szCs w:val="21"/>
        </w:rPr>
        <w:t xml:space="preserve"/>
      </w:r>
    </w:p>
    <w:tbl>
      <w:tblPr>
        <w:tblW w:type="dxa" w:w="9026"/>
        <w:tblBorders>
          <w:top w:val="single" w:color="F2F5FA" w:sz="2"/>
          <w:left w:val="single" w:color="1F6FEB" w:sz="16"/>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50"/>
              <w:left w:type="dxa" w:w="210"/>
              <w:bottom w:type="dxa" w:w="150"/>
              <w:right w:type="dxa" w:w="210"/>
            </w:tcMar>
          </w:tcPr>
          <w:p>
            <w:pPr>
              <w:spacing w:after="90"/>
            </w:pPr>
            <w:r>
              <w:rPr>
                <w:rFonts w:ascii="Aptos" w:cs="Aptos" w:eastAsia="Aptos" w:hAnsi="Aptos"/>
                <w:b/>
                <w:bCs/>
                <w:color w:val="0A1B3D"/>
                <w:sz w:val="22"/>
                <w:szCs w:val="22"/>
              </w:rPr>
              <w:t xml:space="preserve">This document is the single source of truth for the landing page.</w:t>
            </w:r>
          </w:p>
          <w:p>
            <w:pPr>
              <w:spacing w:after="80"/>
            </w:pPr>
            <w:r>
              <w:rPr>
                <w:rFonts w:ascii="Aptos" w:cs="Aptos" w:eastAsia="Aptos" w:hAnsi="Aptos"/>
                <w:sz w:val="20"/>
                <w:szCs w:val="20"/>
              </w:rPr>
              <w:t xml:space="preserve">Nine blocks in build order. For each one: the final copy, then the build notes, then the SEO and answer-engine notes. It supersedes the landing-page sections of the earlier copy deck, the design content spec and the SEO/AEO document — where any of those disagree with this, this wins.</w:t>
            </w:r>
          </w:p>
          <w:p>
            <w:r>
              <w:rPr>
                <w:rFonts w:ascii="Aptos" w:cs="Aptos" w:eastAsia="Aptos" w:hAnsi="Aptos"/>
                <w:sz w:val="20"/>
                <w:szCs w:val="20"/>
              </w:rPr>
              <w:t xml:space="preserve">The earlier copy deck still owns two things this document does not cover: the homepage placement options, and the day-30 removal runbook.</w:t>
            </w:r>
          </w:p>
        </w:tc>
      </w:tr>
    </w:tbl>
    <w:p>
      <w:pPr>
        <w:spacing w:after="200"/>
      </w:pPr>
      <w:r>
        <w:rPr>
          <w:rFonts w:ascii="Aptos" w:cs="Aptos" w:eastAsia="Aptos" w:hAnsi="Aptos"/>
          <w:sz w:val="21"/>
          <w:szCs w:val="21"/>
        </w:rPr>
        <w:t xml:space="preserve"/>
      </w:r>
    </w:p>
    <w:p>
      <w:pPr>
        <w:spacing w:after="120" w:line="276"/>
      </w:pPr>
      <w:r>
        <w:rPr>
          <w:rFonts w:ascii="Aptos" w:cs="Aptos" w:eastAsia="Aptos" w:hAnsi="Aptos"/>
          <w:b/>
          <w:bCs/>
          <w:sz w:val="21"/>
          <w:szCs w:val="21"/>
        </w:rPr>
        <w:t xml:space="preserve">Prepared for: </w:t>
      </w:r>
      <w:r>
        <w:rPr>
          <w:rFonts w:ascii="Aptos" w:cs="Aptos" w:eastAsia="Aptos" w:hAnsi="Aptos"/>
          <w:sz w:val="21"/>
          <w:szCs w:val="21"/>
        </w:rPr>
        <w:t xml:space="preserve">xLoop Digital — web, design and security practice</w:t>
      </w:r>
    </w:p>
    <w:p>
      <w:pPr>
        <w:spacing w:after="120" w:line="276"/>
      </w:pPr>
      <w:r>
        <w:rPr>
          <w:rFonts w:ascii="Aptos" w:cs="Aptos" w:eastAsia="Aptos" w:hAnsi="Aptos"/>
          <w:b/>
          <w:bCs/>
          <w:sz w:val="21"/>
          <w:szCs w:val="21"/>
        </w:rPr>
        <w:t xml:space="preserve">Date: </w:t>
      </w:r>
      <w:r>
        <w:rPr>
          <w:rFonts w:ascii="Aptos" w:cs="Aptos" w:eastAsia="Aptos" w:hAnsi="Aptos"/>
          <w:sz w:val="21"/>
          <w:szCs w:val="21"/>
        </w:rPr>
        <w:t xml:space="preserve">25 August 2026</w:t>
      </w:r>
    </w:p>
    <w:p>
      <w:pPr>
        <w:spacing w:after="120" w:line="276"/>
      </w:pPr>
      <w:r>
        <w:rPr>
          <w:rFonts w:ascii="Aptos" w:cs="Aptos" w:eastAsia="Aptos" w:hAnsi="Aptos"/>
          <w:b/>
          <w:bCs/>
          <w:sz w:val="21"/>
          <w:szCs w:val="21"/>
        </w:rPr>
        <w:t xml:space="preserve">Status: </w:t>
      </w:r>
      <w:r>
        <w:rPr>
          <w:rFonts w:ascii="Aptos" w:cs="Aptos" w:eastAsia="Aptos" w:hAnsi="Aptos"/>
          <w:sz w:val="21"/>
          <w:szCs w:val="21"/>
        </w:rPr>
        <w:t xml:space="preserve">Final copy, pending six confirmations — see the register overleaf</w:t>
      </w:r>
    </w:p>
    <w:p>
      <w:r>
        <w:br w:type="page"/>
      </w:r>
    </w:p>
    <w:p>
      <w:pPr>
        <w:pStyle w:val="Heading1"/>
        <w:spacing w:after="140" w:before="340"/>
      </w:pPr>
      <w:r>
        <w:rPr>
          <w:rFonts w:ascii="Aptos" w:cs="Aptos" w:eastAsia="Aptos" w:hAnsi="Aptos"/>
          <w:b/>
          <w:bCs/>
          <w:color w:val="0A1B3D"/>
          <w:sz w:val="32"/>
          <w:szCs w:val="32"/>
        </w:rPr>
        <w:t xml:space="preserve">Before this page goes live</w:t>
      </w:r>
    </w:p>
    <w:p>
      <w:pPr>
        <w:spacing w:after="120" w:line="276"/>
      </w:pPr>
      <w:r>
        <w:rPr>
          <w:rFonts w:ascii="Aptos" w:cs="Aptos" w:eastAsia="Aptos" w:hAnsi="Aptos"/>
          <w:sz w:val="21"/>
          <w:szCs w:val="21"/>
        </w:rPr>
        <w:t xml:space="preserve">Six strings in the copy are not yet confirmed. Each is marked inline where it appears, like this: 〔V1〕. Nothing on this list stops design or build — it stops publication.</w:t>
      </w:r>
    </w:p>
    <w:p>
      <w:pPr>
        <w:spacing w:after="60"/>
      </w:pPr>
      <w:r>
        <w:rPr>
          <w:rFonts w:ascii="Aptos" w:cs="Aptos" w:eastAsia="Aptos" w:hAnsi="Aptos"/>
          <w:sz w:val="21"/>
          <w:szCs w:val="21"/>
        </w:rPr>
        <w:t xml:space="preserve"/>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750"/>
        <w:gridCol w:w="4700"/>
        <w:gridCol w:w="1550"/>
        <w:gridCol w:w="2026"/>
      </w:tblGrid>
      <w:tr>
        <w:trPr>
          <w:tblHeader/>
        </w:trPr>
        <w:tc>
          <w:tcPr>
            <w:tcW w:type="dxa" w:w="75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Mark</w:t>
            </w:r>
          </w:p>
        </w:tc>
        <w:tc>
          <w:tcPr>
            <w:tcW w:type="dxa" w:w="47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What needs confirming</w:t>
            </w:r>
          </w:p>
        </w:tc>
        <w:tc>
          <w:tcPr>
            <w:tcW w:type="dxa" w:w="155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Appears in</w:t>
            </w:r>
          </w:p>
        </w:tc>
        <w:tc>
          <w:tcPr>
            <w:tcW w:type="dxa" w:w="20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Owner</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〔V1〕</w:t>
            </w:r>
          </w:p>
        </w:tc>
        <w:tc>
          <w:tcPr>
            <w:tcW w:type="dxa" w:w="47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The gazetted short title of the regulations. Your proposal says “Security of Information Technology &amp; Operational Technology Regulations, 2022”; NEPRA’s own workshop material says “NEPRA IT/OT Cyber-security Regulations”. Use the gazette wording, identically everywhere.</w:t>
            </w:r>
          </w:p>
        </w:tc>
        <w:tc>
          <w:tcPr>
            <w:tcW w:type="dxa" w:w="15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01, 02, 04, 08</w:t>
            </w:r>
          </w:p>
        </w:tc>
        <w:tc>
          <w:tcPr>
            <w:tcW w:type="dxa" w:w="20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〔V2〕</w:t>
            </w:r>
          </w:p>
        </w:tc>
        <w:tc>
          <w:tcPr>
            <w:tcW w:type="dxa" w:w="47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The 72-hour significant-incident reporting deadline. Taken from Regulation 11 in your ACT Wind proposal. It is the load-bearing claim in block 02.</w:t>
            </w:r>
          </w:p>
        </w:tc>
        <w:tc>
          <w:tcPr>
            <w:tcW w:type="dxa" w:w="15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02, 04, 08</w:t>
            </w:r>
          </w:p>
        </w:tc>
        <w:tc>
          <w:tcPr>
            <w:tcW w:type="dxa" w:w="20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〔V3〕</w:t>
            </w:r>
          </w:p>
        </w:tc>
        <w:tc>
          <w:tcPr>
            <w:tcW w:type="dxa" w:w="47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Permission to reference the ACT Wind engagement, even anonymised as “a 30 MW wind IPP”.</w:t>
            </w:r>
          </w:p>
        </w:tc>
        <w:tc>
          <w:tcPr>
            <w:tcW w:type="dxa" w:w="15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07</w:t>
            </w:r>
          </w:p>
        </w:tc>
        <w:tc>
          <w:tcPr>
            <w:tcW w:type="dxa" w:w="20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Legal / account owner</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〔V4〕</w:t>
            </w:r>
          </w:p>
        </w:tc>
        <w:tc>
          <w:tcPr>
            <w:tcW w:type="dxa" w:w="47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Whether NIST, IEC 62443 and MITRE ATT&amp;CK methodology alignment can be claimed. Currently omitted from the copy; your own proposal makes the claim.</w:t>
            </w:r>
          </w:p>
        </w:tc>
        <w:tc>
          <w:tcPr>
            <w:tcW w:type="dxa" w:w="15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07 (optional line)</w:t>
            </w:r>
          </w:p>
        </w:tc>
        <w:tc>
          <w:tcPr>
            <w:tcW w:type="dxa" w:w="20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〔V5〕</w:t>
            </w:r>
          </w:p>
        </w:tc>
        <w:tc>
          <w:tcPr>
            <w:tcW w:type="dxa" w:w="47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Whether to publish an audit duration at all. “Roughly three weeks” is extrapolated from the ACT Wind plan and sets an expectation you will be held to.</w:t>
            </w:r>
          </w:p>
        </w:tc>
        <w:tc>
          <w:tcPr>
            <w:tcW w:type="dxa" w:w="15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08</w:t>
            </w:r>
          </w:p>
        </w:tc>
        <w:tc>
          <w:tcPr>
            <w:tcW w:type="dxa" w:w="20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Sales</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〔V6〕</w:t>
            </w:r>
          </w:p>
        </w:tc>
        <w:tc>
          <w:tcPr>
            <w:tcW w:type="dxa" w:w="47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Whether a NEPRA Regulation 8 audit must be performed by a CERT-recognised Category-1 audit firm. See the box below.</w:t>
            </w:r>
          </w:p>
        </w:tc>
        <w:tc>
          <w:tcPr>
            <w:tcW w:type="dxa" w:w="15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01, 03, 07</w:t>
            </w:r>
          </w:p>
        </w:tc>
        <w:tc>
          <w:tcPr>
            <w:tcW w:type="dxa" w:w="20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 / NEPRA</w:t>
            </w:r>
          </w:p>
        </w:tc>
      </w:tr>
    </w:tbl>
    <w:p>
      <w:pPr>
        <w:spacing w:after="160"/>
      </w:pPr>
      <w:r>
        <w:rPr>
          <w:rFonts w:ascii="Aptos" w:cs="Aptos" w:eastAsia="Aptos" w:hAnsi="Aptos"/>
          <w:sz w:val="21"/>
          <w:szCs w:val="21"/>
        </w:rPr>
        <w:t xml:space="preserve"/>
      </w:r>
    </w:p>
    <w:tbl>
      <w:tblPr>
        <w:tblW w:type="dxa" w:w="9026"/>
        <w:tblBorders>
          <w:top w:val="single" w:color="FDECEA" w:sz="2"/>
          <w:left w:val="single" w:color="C0392B" w:sz="16"/>
          <w:bottom w:val="single" w:color="FDECEA" w:sz="2"/>
          <w:right w:val="single" w:color="FDECEA" w:sz="2"/>
          <w:insideH w:val="none" w:color="FDECEA" w:sz="0"/>
          <w:insideV w:val="none" w:color="FDECEA" w:sz="0"/>
        </w:tblBorders>
      </w:tblPr>
      <w:tblGrid>
        <w:gridCol w:w="9026"/>
      </w:tblGrid>
      <w:tr>
        <w:tc>
          <w:tcPr>
            <w:tcW w:type="dxa" w:w="9026"/>
            <w:shd w:fill="FDECEA" w:color="auto" w:val="clear"/>
            <w:tcMar>
              <w:top w:type="dxa" w:w="150"/>
              <w:left w:type="dxa" w:w="210"/>
              <w:bottom w:type="dxa" w:w="150"/>
              <w:right w:type="dxa" w:w="210"/>
            </w:tcMar>
          </w:tcPr>
          <w:p>
            <w:pPr>
              <w:spacing w:after="80"/>
            </w:pPr>
            <w:r>
              <w:rPr>
                <w:rFonts w:ascii="Aptos" w:cs="Aptos" w:eastAsia="Aptos" w:hAnsi="Aptos"/>
                <w:b/>
                <w:bCs/>
                <w:color w:val="9B2C1E"/>
                <w:sz w:val="22"/>
                <w:szCs w:val="22"/>
              </w:rPr>
              <w:t xml:space="preserve">〔V6〕 is the one that can invalidate the page.</w:t>
            </w:r>
          </w:p>
          <w:p>
            <w:pPr>
              <w:spacing w:after="80"/>
            </w:pPr>
            <w:r>
              <w:rPr>
                <w:rFonts w:ascii="Aptos" w:cs="Aptos" w:eastAsia="Aptos" w:hAnsi="Aptos"/>
                <w:sz w:val="20"/>
                <w:szCs w:val="20"/>
              </w:rPr>
              <w:t xml:space="preserve">A competing firm has publicly claimed that NEPRA licensees may only use a Category-1 audit firm recognised by the National CERT. xLoop is not on that register in any category. Against that: the PKCERT page describes those firms as supporting federal ministries and does not mention NEPRA at all, and the firm making the claim is itself on the register.</w:t>
            </w:r>
          </w:p>
          <w:p>
            <w:pPr>
              <w:spacing w:after="80"/>
            </w:pPr>
            <w:r>
              <w:rPr>
                <w:rFonts w:ascii="Aptos" w:cs="Aptos" w:eastAsia="Aptos" w:hAnsi="Aptos"/>
                <w:sz w:val="20"/>
                <w:szCs w:val="20"/>
              </w:rPr>
              <w:t xml:space="preserve">You have chosen to write the page at full strength — “NEPRA Compliance Audit”, matching what the 87 letters already say. That is recorded here as a deliberate decision, not an oversight. </w:t>
            </w:r>
            <w:r>
              <w:rPr>
                <w:rFonts w:ascii="Aptos" w:cs="Aptos" w:eastAsia="Aptos" w:hAnsi="Aptos"/>
                <w:b/>
                <w:bCs/>
                <w:sz w:val="20"/>
                <w:szCs w:val="20"/>
              </w:rPr>
              <w:t xml:space="preserve">The copy below is written that way.</w:t>
            </w:r>
          </w:p>
          <w:p>
            <w:r>
              <w:rPr>
                <w:rFonts w:ascii="Aptos" w:cs="Aptos" w:eastAsia="Aptos" w:hAnsi="Aptos"/>
                <w:sz w:val="20"/>
                <w:szCs w:val="20"/>
              </w:rPr>
              <w:t xml:space="preserve">If NEPRA confirms the Category-1 requirement, four things change and nothing else: the H1, the hero subhead, service card 1, and the block 03 answer capsule. Each is marked 〔V6〕 so you can find them in under a minute.</w:t>
            </w:r>
          </w:p>
        </w:tc>
      </w:tr>
    </w:tbl>
    <w:p>
      <w:pPr>
        <w:pStyle w:val="Heading2"/>
        <w:spacing w:after="110" w:before="280"/>
      </w:pPr>
      <w:r>
        <w:rPr>
          <w:rFonts w:ascii="Aptos" w:cs="Aptos" w:eastAsia="Aptos" w:hAnsi="Aptos"/>
          <w:b/>
          <w:bCs/>
          <w:color w:val="0A1B3D"/>
          <w:sz w:val="25"/>
          <w:szCs w:val="25"/>
        </w:rPr>
        <w:t xml:space="preserve">Page architecture</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600"/>
        <w:gridCol w:w="2500"/>
        <w:gridCol w:w="4200"/>
        <w:gridCol w:w="1726"/>
      </w:tblGrid>
      <w:tr>
        <w:trPr>
          <w:tblHeader/>
        </w:trPr>
        <w:tc>
          <w:tcPr>
            <w:tcW w:type="dxa" w:w="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t>
            </w:r>
          </w:p>
        </w:tc>
        <w:tc>
          <w:tcPr>
            <w:tcW w:type="dxa" w:w="25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Block</w:t>
            </w:r>
          </w:p>
        </w:tc>
        <w:tc>
          <w:tcPr>
            <w:tcW w:type="dxa" w:w="42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Job</w:t>
            </w:r>
          </w:p>
        </w:tc>
        <w:tc>
          <w:tcPr>
            <w:tcW w:type="dxa" w:w="17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Reader</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01</w:t>
            </w:r>
          </w:p>
        </w:tc>
        <w:tc>
          <w:tcPr>
            <w:tcW w:type="dxa" w:w="25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Hero</w:t>
            </w:r>
          </w:p>
        </w:tc>
        <w:tc>
          <w:tcPr>
            <w:tcW w:type="dxa" w:w="4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Name the service, state the instrument, put the phone in reach.</w:t>
            </w:r>
          </w:p>
        </w:tc>
        <w:tc>
          <w:tcPr>
            <w:tcW w:type="dxa" w:w="1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Executive</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02</w:t>
            </w:r>
          </w:p>
        </w:tc>
        <w:tc>
          <w:tcPr>
            <w:tcW w:type="dxa" w:w="25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What the regulations require</w:t>
            </w:r>
          </w:p>
        </w:tc>
        <w:tc>
          <w:tcPr>
            <w:tcW w:type="dxa" w:w="4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Make the obligation and its consequences legible.</w:t>
            </w:r>
          </w:p>
        </w:tc>
        <w:tc>
          <w:tcPr>
            <w:tcW w:type="dxa" w:w="1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Executive</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03</w:t>
            </w:r>
          </w:p>
        </w:tc>
        <w:tc>
          <w:tcPr>
            <w:tcW w:type="dxa" w:w="25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NEPRA compliance services</w:t>
            </w:r>
          </w:p>
        </w:tc>
        <w:tc>
          <w:tcPr>
            <w:tcW w:type="dxa" w:w="4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The four services from the mailed flyer.</w:t>
            </w:r>
          </w:p>
        </w:tc>
        <w:tc>
          <w:tcPr>
            <w:tcW w:type="dxa" w:w="1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Both</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04</w:t>
            </w:r>
          </w:p>
        </w:tc>
        <w:tc>
          <w:tcPr>
            <w:tcW w:type="dxa" w:w="25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Requirements, Regulation 4–11</w:t>
            </w:r>
          </w:p>
        </w:tc>
        <w:tc>
          <w:tcPr>
            <w:tcW w:type="dxa" w:w="4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Clause-by-clause proof of scope. The page’s reason to exist.</w:t>
            </w:r>
          </w:p>
        </w:tc>
        <w:tc>
          <w:tcPr>
            <w:tcW w:type="dxa" w:w="1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Technical</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05</w:t>
            </w:r>
          </w:p>
        </w:tc>
        <w:tc>
          <w:tcPr>
            <w:tcW w:type="dxa" w:w="25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Mid-page CTA</w:t>
            </w:r>
          </w:p>
        </w:tc>
        <w:tc>
          <w:tcPr>
            <w:tcW w:type="dxa" w:w="4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Catch the reader convinced before the credentials.</w:t>
            </w:r>
          </w:p>
        </w:tc>
        <w:tc>
          <w:tcPr>
            <w:tcW w:type="dxa" w:w="1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Both</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06</w:t>
            </w:r>
          </w:p>
        </w:tc>
        <w:tc>
          <w:tcPr>
            <w:tcW w:type="dxa" w:w="25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What the audit delivers</w:t>
            </w:r>
          </w:p>
        </w:tc>
        <w:tc>
          <w:tcPr>
            <w:tcW w:type="dxa" w:w="4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Turn a service into a list of documents.</w:t>
            </w:r>
          </w:p>
        </w:tc>
        <w:tc>
          <w:tcPr>
            <w:tcW w:type="dxa" w:w="1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Technical</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07</w:t>
            </w:r>
          </w:p>
        </w:tc>
        <w:tc>
          <w:tcPr>
            <w:tcW w:type="dxa" w:w="25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Why xLoop</w:t>
            </w:r>
          </w:p>
        </w:tc>
        <w:tc>
          <w:tcPr>
            <w:tcW w:type="dxa" w:w="4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Credentials, stated conservatively.</w:t>
            </w:r>
          </w:p>
        </w:tc>
        <w:tc>
          <w:tcPr>
            <w:tcW w:type="dxa" w:w="1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Both</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08</w:t>
            </w:r>
          </w:p>
        </w:tc>
        <w:tc>
          <w:tcPr>
            <w:tcW w:type="dxa" w:w="25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FAQ</w:t>
            </w:r>
          </w:p>
        </w:tc>
        <w:tc>
          <w:tcPr>
            <w:tcW w:type="dxa" w:w="4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Six real questions. The block assistants quote.</w:t>
            </w:r>
          </w:p>
        </w:tc>
        <w:tc>
          <w:tcPr>
            <w:tcW w:type="dxa" w:w="1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Both / AI</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09</w:t>
            </w:r>
          </w:p>
        </w:tc>
        <w:tc>
          <w:tcPr>
            <w:tcW w:type="dxa" w:w="25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Closing CTA</w:t>
            </w:r>
          </w:p>
        </w:tc>
        <w:tc>
          <w:tcPr>
            <w:tcW w:type="dxa" w:w="4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Phone and email, with the flyer’s own sign-off.</w:t>
            </w:r>
          </w:p>
        </w:tc>
        <w:tc>
          <w:tcPr>
            <w:tcW w:type="dxa" w:w="1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Both</w:t>
            </w:r>
          </w:p>
        </w:tc>
      </w:tr>
    </w:tbl>
    <w:p>
      <w:pPr>
        <w:spacing w:after="140"/>
      </w:pPr>
      <w:r>
        <w:rPr>
          <w:rFonts w:ascii="Aptos" w:cs="Aptos" w:eastAsia="Aptos" w:hAnsi="Aptos"/>
          <w:sz w:val="21"/>
          <w:szCs w:val="21"/>
        </w:rPr>
        <w:t xml:space="preserve"/>
      </w:r>
    </w:p>
    <w:tbl>
      <w:tblPr>
        <w:tblW w:type="dxa" w:w="9026"/>
        <w:tblBorders>
          <w:top w:val="single" w:color="F2F5FA" w:sz="2"/>
          <w:left w:val="single" w:color="1F6FEB" w:sz="16"/>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50"/>
              <w:left w:type="dxa" w:w="210"/>
              <w:bottom w:type="dxa" w:w="150"/>
              <w:right w:type="dxa" w:w="210"/>
            </w:tcMar>
          </w:tcPr>
          <w:p>
            <w:r>
              <w:rPr>
                <w:rFonts w:ascii="Aptos" w:cs="Aptos" w:eastAsia="Aptos" w:hAnsi="Aptos"/>
                <w:b/>
                <w:bCs/>
                <w:color w:val="1F6FEB"/>
                <w:sz w:val="16"/>
                <w:szCs w:val="16"/>
              </w:rPr>
              <w:t xml:space="preserve">HOW TO READ THE COPY BLOCKS  </w:t>
            </w:r>
            <w:r>
              <w:rPr>
                <w:rFonts w:ascii="Aptos" w:cs="Aptos" w:eastAsia="Aptos" w:hAnsi="Aptos"/>
                <w:sz w:val="20"/>
                <w:szCs w:val="20"/>
              </w:rPr>
              <w:t xml:space="preserve">Left column is the role of the line. Right column is the exact words, with a character count — and, for answer capsules, a word count, because those must land between 40 and 60 words. Italic grey text beneath a line is a note about it, not copy.</w:t>
            </w:r>
          </w:p>
        </w:tc>
      </w:tr>
    </w:tbl>
    <w:p>
      <w:r>
        <w:br w:type="page"/>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01</w:t>
      </w:r>
    </w:p>
    <w:p>
      <w:pPr>
        <w:pStyle w:val="Heading2"/>
        <w:spacing w:after="60"/>
      </w:pPr>
      <w:r>
        <w:rPr>
          <w:rFonts w:ascii="Aptos" w:cs="Aptos" w:eastAsia="Aptos" w:hAnsi="Aptos"/>
          <w:b/>
          <w:bCs/>
          <w:color w:val="0A1B3D"/>
          <w:sz w:val="27"/>
          <w:szCs w:val="27"/>
        </w:rPr>
        <w:t xml:space="preserve">Hero</w:t>
      </w:r>
    </w:p>
    <w:p>
      <w:pPr>
        <w:spacing w:after="150"/>
      </w:pPr>
      <w:r>
        <w:rPr>
          <w:rFonts w:ascii="Aptos" w:cs="Aptos" w:eastAsia="Aptos" w:hAnsi="Aptos"/>
          <w:color w:val="5A6472"/>
          <w:sz w:val="20"/>
          <w:szCs w:val="20"/>
        </w:rPr>
        <w:t xml:space="preserve">First screen. Names the service, states the instrument it is built on, and puts the phone number within reach without a scroll.</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EYEBROW</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POWER ⚡ SECURE</w:t>
            </w:r>
          </w:p>
          <w:p>
            <w:pPr>
              <w:spacing w:before="70"/>
            </w:pPr>
            <w:r>
              <w:rPr>
                <w:rFonts w:ascii="Aptos" w:cs="Aptos" w:eastAsia="Aptos" w:hAnsi="Aptos"/>
                <w:i/>
                <w:iCs/>
                <w:color w:val="5A6472"/>
                <w:sz w:val="17"/>
                <w:szCs w:val="17"/>
              </w:rPr>
              <w:t xml:space="preserve">Verbatim from the printed flyer. It is the visual handshake for anyone who received the letter.</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NEPRA IT/OT Regulatory Compliance Services</w:t>
            </w:r>
            <w:r>
              <w:rPr>
                <w:rFonts w:ascii="Aptos" w:cs="Aptos" w:eastAsia="Aptos" w:hAnsi="Aptos"/>
                <w:color w:val="8A94A3"/>
                <w:sz w:val="15"/>
                <w:szCs w:val="15"/>
              </w:rPr>
              <w:t xml:space="preserve">   42 ch</w:t>
            </w:r>
          </w:p>
          <w:p>
            <w:pPr>
              <w:spacing w:before="70"/>
            </w:pPr>
            <w:r>
              <w:rPr>
                <w:rFonts w:ascii="Aptos" w:cs="Aptos" w:eastAsia="Aptos" w:hAnsi="Aptos"/>
                <w:i/>
                <w:iCs/>
                <w:color w:val="5A6472"/>
                <w:sz w:val="17"/>
                <w:szCs w:val="17"/>
              </w:rPr>
              <w:t xml:space="preserve">〔V6〕 If a CERT-recognised firm turns out to be required, this becomes “NEPRA IT/OT Compliance &amp; Readiness Services”. Exactly one H1 on the page.</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SUBHEAD</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Independent NEPRA compliance audits, VAPT, policy frameworks and training for Pakistan’s power sector — built around the </w:t>
            </w:r>
            <w:r>
              <w:rPr>
                <w:rFonts w:ascii="Consolas" w:cs="Consolas" w:eastAsia="Consolas" w:hAnsi="Consolas"/>
                <w:b/>
                <w:bCs/>
                <w:color w:val="B45309"/>
                <w:sz w:val="15"/>
                <w:szCs w:val="15"/>
              </w:rPr>
              <w:t xml:space="preserve">〔V1〕</w:t>
            </w:r>
            <w:r>
              <w:rPr>
                <w:rFonts w:ascii="Aptos" w:cs="Aptos" w:eastAsia="Aptos" w:hAnsi="Aptos"/>
                <w:sz w:val="20"/>
                <w:szCs w:val="20"/>
              </w:rPr>
              <w:t xml:space="preserve">Security of Information Technology &amp; Operational Technology Regulations, 2022.</w:t>
            </w:r>
            <w:r>
              <w:rPr>
                <w:rFonts w:ascii="Aptos" w:cs="Aptos" w:eastAsia="Aptos" w:hAnsi="Aptos"/>
                <w:color w:val="8A94A3"/>
                <w:sz w:val="15"/>
                <w:szCs w:val="15"/>
              </w:rPr>
              <w:t xml:space="preserve">   199 ch</w:t>
            </w:r>
          </w:p>
          <w:p>
            <w:pPr>
              <w:spacing w:before="70"/>
            </w:pPr>
            <w:r>
              <w:rPr>
                <w:rFonts w:ascii="Aptos" w:cs="Aptos" w:eastAsia="Aptos" w:hAnsi="Aptos"/>
                <w:i/>
                <w:iCs/>
                <w:color w:val="5A6472"/>
                <w:sz w:val="17"/>
                <w:szCs w:val="17"/>
              </w:rPr>
              <w:t xml:space="preserve">〔V6〕 Front-loads the four service terms the page must rank for. Max two lines at desktop; if it runs to three, cut “Independent”.</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Call +92 21 3586 9200</w:t>
            </w:r>
            <w:r>
              <w:rPr>
                <w:rFonts w:ascii="Aptos" w:cs="Aptos" w:eastAsia="Aptos" w:hAnsi="Aptos"/>
                <w:b/>
                <w:bCs/>
                <w:color w:val="1F6FEB"/>
                <w:sz w:val="20"/>
                <w:szCs w:val="20"/>
              </w:rPr>
              <w:t xml:space="preserve"> ]</w:t>
            </w:r>
          </w:p>
          <w:p>
            <w:pPr>
              <w:spacing w:before="70"/>
            </w:pPr>
            <w:r>
              <w:rPr>
                <w:rFonts w:ascii="Aptos" w:cs="Aptos" w:eastAsia="Aptos" w:hAnsi="Aptos"/>
                <w:i/>
                <w:iCs/>
                <w:color w:val="5A6472"/>
                <w:sz w:val="17"/>
                <w:szCs w:val="17"/>
              </w:rPr>
              <w:t xml:space="preserve">href="tel:+922135869200". Solid fill — primary action.</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Email xsecurity@xloopdigital.com</w:t>
            </w:r>
            <w:r>
              <w:rPr>
                <w:rFonts w:ascii="Aptos" w:cs="Aptos" w:eastAsia="Aptos" w:hAnsi="Aptos"/>
                <w:b/>
                <w:bCs/>
                <w:color w:val="1F6FEB"/>
                <w:sz w:val="20"/>
                <w:szCs w:val="20"/>
              </w:rPr>
              <w:t xml:space="preserve"> ]</w:t>
            </w:r>
          </w:p>
          <w:p>
            <w:pPr>
              <w:spacing w:before="70"/>
            </w:pPr>
            <w:r>
              <w:rPr>
                <w:rFonts w:ascii="Aptos" w:cs="Aptos" w:eastAsia="Aptos" w:hAnsi="Aptos"/>
                <w:i/>
                <w:iCs/>
                <w:color w:val="5A6472"/>
                <w:sz w:val="17"/>
                <w:szCs w:val="17"/>
              </w:rPr>
              <w:t xml:space="preserve">href="mailto:xsecurity@xloopdigital.com?subject=NEPRA%20IT%2FOT%20Compliance%20enquiry". Outlined pill.</w:t>
            </w:r>
          </w:p>
        </w:tc>
      </w:tr>
    </w:tbl>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Left-aligned copy with a supporting visual on the right, matching the AI Security band’s split on the homepage. Centred also works if the hero carries no image.</w:t>
      </w:r>
    </w:p>
    <w:p>
      <w:pPr>
        <w:pStyle w:val="ListParagraph"/>
        <w:numPr>
          <w:ilvl w:val="0"/>
          <w:numId w:val="2"/>
        </w:numPr>
        <w:spacing w:after="60" w:line="276"/>
      </w:pPr>
      <w:r>
        <w:rPr>
          <w:rFonts w:ascii="Aptos" w:cs="Aptos" w:eastAsia="Aptos" w:hAnsi="Aptos"/>
          <w:b/>
          <w:bCs/>
          <w:sz w:val="21"/>
          <w:szCs w:val="21"/>
        </w:rPr>
        <w:t xml:space="preserve">Asset: </w:t>
      </w:r>
      <w:r>
        <w:rPr>
          <w:rFonts w:ascii="Aptos" w:cs="Aptos" w:eastAsia="Aptos" w:hAnsi="Aptos"/>
          <w:sz w:val="21"/>
          <w:szCs w:val="21"/>
        </w:rPr>
        <w:t xml:space="preserve">one hero visual — transmission infrastructure, a substation, or a control room. Abstract padlock-and-circuit imagery will read as generic to this audience.</w:t>
      </w:r>
    </w:p>
    <w:p>
      <w:pPr>
        <w:pStyle w:val="ListParagraph"/>
        <w:numPr>
          <w:ilvl w:val="0"/>
          <w:numId w:val="2"/>
        </w:numPr>
        <w:spacing w:after="60" w:line="276"/>
      </w:pPr>
      <w:r>
        <w:rPr>
          <w:rFonts w:ascii="Aptos" w:cs="Aptos" w:eastAsia="Aptos" w:hAnsi="Aptos"/>
          <w:sz w:val="21"/>
          <w:szCs w:val="21"/>
        </w:rPr>
        <w:t xml:space="preserve">Mobile: stack, visual below the copy, both buttons full width.</w:t>
      </w:r>
    </w:p>
    <w:p>
      <w:pPr>
        <w:spacing w:after="80" w:before="220"/>
      </w:pPr>
      <w:r>
        <w:rPr>
          <w:rFonts w:ascii="Aptos" w:cs="Aptos" w:eastAsia="Aptos" w:hAnsi="Aptos"/>
          <w:b/>
          <w:bCs/>
          <w:color w:val="5A6472"/>
          <w:spacing w:val="34"/>
          <w:sz w:val="16"/>
          <w:szCs w:val="16"/>
        </w:rPr>
        <w:t xml:space="preserve">SEO / AEO</w:t>
      </w:r>
    </w:p>
    <w:p>
      <w:pPr>
        <w:pStyle w:val="ListParagraph"/>
        <w:numPr>
          <w:ilvl w:val="0"/>
          <w:numId w:val="2"/>
        </w:numPr>
        <w:spacing w:after="60" w:line="276"/>
      </w:pPr>
      <w:r>
        <w:rPr>
          <w:rFonts w:ascii="Aptos" w:cs="Aptos" w:eastAsia="Aptos" w:hAnsi="Aptos"/>
          <w:b/>
          <w:bCs/>
          <w:sz w:val="21"/>
          <w:szCs w:val="21"/>
        </w:rPr>
        <w:t xml:space="preserve">Carries: </w:t>
      </w:r>
      <w:r>
        <w:rPr>
          <w:rFonts w:ascii="Aptos" w:cs="Aptos" w:eastAsia="Aptos" w:hAnsi="Aptos"/>
          <w:sz w:val="21"/>
          <w:szCs w:val="21"/>
        </w:rPr>
        <w:t xml:space="preserve">“NEPRA IT OT compliance”, “NEPRA compliance audit”, “VAPT”.</w:t>
      </w:r>
    </w:p>
    <w:p>
      <w:pPr>
        <w:pStyle w:val="ListParagraph"/>
        <w:numPr>
          <w:ilvl w:val="0"/>
          <w:numId w:val="2"/>
        </w:numPr>
        <w:spacing w:after="60" w:line="276"/>
      </w:pPr>
      <w:r>
        <w:rPr>
          <w:rFonts w:ascii="Aptos" w:cs="Aptos" w:eastAsia="Aptos" w:hAnsi="Aptos"/>
          <w:sz w:val="21"/>
          <w:szCs w:val="21"/>
        </w:rPr>
        <w:t xml:space="preserve">The H1 stays a single clean string — do not split it across a coloured second clause, which is fine for an H2 but weakens an H1 for search.</w:t>
      </w:r>
    </w:p>
    <w:p>
      <w:pPr>
        <w:pStyle w:val="ListParagraph"/>
        <w:numPr>
          <w:ilvl w:val="0"/>
          <w:numId w:val="2"/>
        </w:numPr>
        <w:spacing w:after="60" w:line="276"/>
      </w:pPr>
      <w:r>
        <w:rPr>
          <w:rFonts w:ascii="Aptos" w:cs="Aptos" w:eastAsia="Aptos" w:hAnsi="Aptos"/>
          <w:b/>
          <w:bCs/>
          <w:sz w:val="21"/>
          <w:szCs w:val="21"/>
        </w:rPr>
        <w:t xml:space="preserve">Both the phone number and the email must render as visible text, not only as href values. </w:t>
      </w:r>
      <w:r>
        <w:rPr>
          <w:rFonts w:ascii="Aptos" w:cs="Aptos" w:eastAsia="Aptos" w:hAnsi="Aptos"/>
          <w:sz w:val="21"/>
          <w:szCs w:val="21"/>
        </w:rPr>
        <w:t xml:space="preserve">tel: and mailto: targets are invisible to crawlers and AI agents.</w:t>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02</w:t>
      </w:r>
    </w:p>
    <w:p>
      <w:pPr>
        <w:pStyle w:val="Heading2"/>
        <w:spacing w:after="60"/>
      </w:pPr>
      <w:r>
        <w:rPr>
          <w:rFonts w:ascii="Aptos" w:cs="Aptos" w:eastAsia="Aptos" w:hAnsi="Aptos"/>
          <w:b/>
          <w:bCs/>
          <w:color w:val="0A1B3D"/>
          <w:sz w:val="27"/>
          <w:szCs w:val="27"/>
        </w:rPr>
        <w:t xml:space="preserve">What the NEPRA IT/OT Regulations 2022 require</w:t>
      </w:r>
    </w:p>
    <w:p>
      <w:pPr>
        <w:spacing w:after="150"/>
      </w:pPr>
      <w:r>
        <w:rPr>
          <w:rFonts w:ascii="Aptos" w:cs="Aptos" w:eastAsia="Aptos" w:hAnsi="Aptos"/>
          <w:color w:val="5A6472"/>
          <w:sz w:val="20"/>
          <w:szCs w:val="20"/>
        </w:rPr>
        <w:t xml:space="preserve">The persuasion block, and the page’s largest search target. States the legal requirement and its three consequences in language a chief executive can act on.</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What the NEPRA IT/OT Regulations 2022 require</w:t>
            </w:r>
            <w:r>
              <w:rPr>
                <w:rFonts w:ascii="Aptos" w:cs="Aptos" w:eastAsia="Aptos" w:hAnsi="Aptos"/>
                <w:color w:val="8A94A3"/>
                <w:sz w:val="15"/>
                <w:szCs w:val="15"/>
              </w:rPr>
              <w:t xml:space="preserve">   45 ch</w:t>
            </w:r>
          </w:p>
        </w:tc>
      </w:tr>
      <w:tr>
        <w:tc>
          <w:tcPr>
            <w:tcW w:type="dxa" w:w="1700"/>
            <w:shd w:fill="EAF3FF" w:color="auto" w:val="clear"/>
            <w:tcMar>
              <w:top w:type="dxa" w:w="120"/>
              <w:left w:type="dxa" w:w="140"/>
              <w:bottom w:type="dxa" w:w="120"/>
              <w:right w:type="dxa" w:w="140"/>
            </w:tcMar>
          </w:tcPr>
          <w:p>
            <w:pPr>
              <w:spacing w:after="0"/>
            </w:pPr>
            <w:r>
              <w:rPr>
                <w:rFonts w:ascii="Aptos" w:cs="Aptos" w:eastAsia="Aptos" w:hAnsi="Aptos"/>
                <w:b/>
                <w:bCs/>
                <w:color w:val="1F6FEB"/>
                <w:spacing w:val="20"/>
                <w:sz w:val="16"/>
                <w:szCs w:val="16"/>
              </w:rPr>
              <w:t xml:space="preserve">ANSWER CAPSULE</w:t>
            </w:r>
          </w:p>
        </w:tc>
        <w:tc>
          <w:tcPr>
            <w:tcW w:type="dxa" w:w="7326"/>
            <w:shd w:fill="F6FAFF" w:color="auto" w:val="clear"/>
            <w:tcMar>
              <w:top w:type="dxa" w:w="120"/>
              <w:left w:type="dxa" w:w="150"/>
              <w:bottom w:type="dxa" w:w="120"/>
              <w:right w:type="dxa" w:w="150"/>
            </w:tcMar>
          </w:tcPr>
          <w:p>
            <w:pPr>
              <w:spacing w:after="0" w:line="266"/>
            </w:pPr>
            <w:r>
              <w:rPr>
                <w:rFonts w:ascii="Aptos" w:cs="Aptos" w:eastAsia="Aptos" w:hAnsi="Aptos"/>
                <w:i/>
                <w:iCs/>
                <w:sz w:val="20"/>
                <w:szCs w:val="20"/>
              </w:rPr>
              <w:t xml:space="preserve">The </w:t>
            </w:r>
            <w:r>
              <w:rPr>
                <w:rFonts w:ascii="Consolas" w:cs="Consolas" w:eastAsia="Consolas" w:hAnsi="Consolas"/>
                <w:b/>
                <w:bCs/>
                <w:color w:val="B45309"/>
                <w:sz w:val="15"/>
                <w:szCs w:val="15"/>
              </w:rPr>
              <w:t xml:space="preserve">〔V1〕</w:t>
            </w:r>
            <w:r>
              <w:rPr>
                <w:rFonts w:ascii="Aptos" w:cs="Aptos" w:eastAsia="Aptos" w:hAnsi="Aptos"/>
                <w:i/>
                <w:iCs/>
                <w:sz w:val="20"/>
                <w:szCs w:val="20"/>
              </w:rPr>
              <w:t xml:space="preserve">NEPRA Security of Information Technology &amp; Operational Technology Regulations, 2022 require every licensed power-sector company in Pakistan to secure both its corporate IT and its operational technology. Obligations cover governance, security controls, risk assessment, data integrity, audit support, monitoring, incident response, training and reporting to the Authority.</w:t>
            </w:r>
            <w:r>
              <w:rPr>
                <w:rFonts w:ascii="Aptos" w:cs="Aptos" w:eastAsia="Aptos" w:hAnsi="Aptos"/>
                <w:color w:val="8A94A3"/>
                <w:sz w:val="15"/>
                <w:szCs w:val="15"/>
              </w:rPr>
              <w:t xml:space="preserve">   376 ch</w:t>
            </w:r>
            <w:r>
              <w:rPr>
                <w:rFonts w:ascii="Aptos" w:cs="Aptos" w:eastAsia="Aptos" w:hAnsi="Aptos"/>
                <w:color w:val="8A94A3"/>
                <w:sz w:val="15"/>
                <w:szCs w:val="15"/>
              </w:rPr>
              <w:t xml:space="preserve"> · 48 words</w:t>
            </w:r>
          </w:p>
          <w:p>
            <w:pPr>
              <w:spacing w:before="70"/>
            </w:pPr>
            <w:r>
              <w:rPr>
                <w:rFonts w:ascii="Aptos" w:cs="Aptos" w:eastAsia="Aptos" w:hAnsi="Aptos"/>
                <w:i/>
                <w:iCs/>
                <w:color w:val="5A6472"/>
                <w:sz w:val="17"/>
                <w:szCs w:val="17"/>
              </w:rPr>
              <w:t xml:space="preserve">Sits directly under the H2, before the body. Written to be quoted whole by an AI assistant answering “what are the NEPRA IT/OT regulations”.</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BODY ¶1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They are already in force, and they are not guidance. The regulations apply across generation, transmission and distribution, and they reach the plant floor as well as the corporate network: SCADA, DCS, PLCs, RTUs, IEDs, HMIs, engineering workstations, and the communication links back to ISMO and the national grid.</w:t>
            </w:r>
            <w:r>
              <w:rPr>
                <w:rFonts w:ascii="Aptos" w:cs="Aptos" w:eastAsia="Aptos" w:hAnsi="Aptos"/>
                <w:color w:val="8A94A3"/>
                <w:sz w:val="15"/>
                <w:szCs w:val="15"/>
              </w:rPr>
              <w:t xml:space="preserve">   316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BODY ¶2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Three things follow from that. NEPRA can direct a technical audit of your systems and expect evidence. Significant incidents must be reported within </w:t>
            </w:r>
            <w:r>
              <w:rPr>
                <w:rFonts w:ascii="Consolas" w:cs="Consolas" w:eastAsia="Consolas" w:hAnsi="Consolas"/>
                <w:b/>
                <w:bCs/>
                <w:color w:val="B45309"/>
                <w:sz w:val="15"/>
                <w:szCs w:val="15"/>
              </w:rPr>
              <w:t xml:space="preserve">〔V2〕</w:t>
            </w:r>
            <w:r>
              <w:rPr>
                <w:rFonts w:ascii="Aptos" w:cs="Aptos" w:eastAsia="Aptos" w:hAnsi="Aptos"/>
                <w:sz w:val="20"/>
                <w:szCs w:val="20"/>
              </w:rPr>
              <w:t xml:space="preserve">72 hours, with quarterly reporting on top. And responsibility sits with a named cybersecurity lead inside your organisation — not with your OEM, and not with your integrator.</w:t>
            </w:r>
            <w:r>
              <w:rPr>
                <w:rFonts w:ascii="Aptos" w:cs="Aptos" w:eastAsia="Aptos" w:hAnsi="Aptos"/>
                <w:color w:val="8A94A3"/>
                <w:sz w:val="15"/>
                <w:szCs w:val="15"/>
              </w:rPr>
              <w:t xml:space="preserve">   323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1 figure</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72 hours</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1 caption</w:t>
            </w:r>
          </w:p>
        </w:tc>
        <w:tc>
          <w:tcPr>
            <w:tcW w:type="dxa" w:w="7326"/>
            <w:shd w:fill="FFFFFF" w:color="auto" w:val="clear"/>
            <w:tcMar>
              <w:top w:type="dxa" w:w="120"/>
              <w:left w:type="dxa" w:w="150"/>
              <w:bottom w:type="dxa" w:w="120"/>
              <w:right w:type="dxa" w:w="150"/>
            </w:tcMar>
          </w:tcPr>
          <w:p>
            <w:pPr>
              <w:spacing w:after="0" w:line="266"/>
            </w:pPr>
            <w:r>
              <w:rPr>
                <w:rFonts w:ascii="Consolas" w:cs="Consolas" w:eastAsia="Consolas" w:hAnsi="Consolas"/>
                <w:b/>
                <w:bCs/>
                <w:color w:val="B45309"/>
                <w:sz w:val="15"/>
                <w:szCs w:val="15"/>
              </w:rPr>
              <w:t xml:space="preserve">〔V2〕</w:t>
            </w:r>
            <w:r>
              <w:rPr>
                <w:rFonts w:ascii="Aptos" w:cs="Aptos" w:eastAsia="Aptos" w:hAnsi="Aptos"/>
                <w:sz w:val="20"/>
                <w:szCs w:val="20"/>
              </w:rPr>
              <w:t xml:space="preserve">to report a significant cyber incident to NEPRA</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2 figure</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Regulations 4–11</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2 caption</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the operative obligations on every licensee</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3 figure</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IT + OT</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TILE 3 caption</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corporate network and plant floor, both in scope</w:t>
            </w:r>
          </w:p>
        </w:tc>
      </w:tr>
    </w:tbl>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Two paragraphs, then a three-tile stat row beneath. Large figure, small caption. The tiles give a skimming executive a scannable layer without reading the prose.</w:t>
      </w:r>
    </w:p>
    <w:p>
      <w:pPr>
        <w:pStyle w:val="ListParagraph"/>
        <w:numPr>
          <w:ilvl w:val="0"/>
          <w:numId w:val="2"/>
        </w:numPr>
        <w:spacing w:after="60" w:line="276"/>
      </w:pPr>
      <w:r>
        <w:rPr>
          <w:rFonts w:ascii="Aptos" w:cs="Aptos" w:eastAsia="Aptos" w:hAnsi="Aptos"/>
          <w:sz w:val="21"/>
          <w:szCs w:val="21"/>
        </w:rPr>
        <w:t xml:space="preserve">Tiles are text, not images. Use tabular figures so “72” and “4–11” align optically.</w:t>
      </w:r>
    </w:p>
    <w:p>
      <w:pPr>
        <w:pStyle w:val="ListParagraph"/>
        <w:numPr>
          <w:ilvl w:val="0"/>
          <w:numId w:val="2"/>
        </w:numPr>
        <w:spacing w:after="60" w:line="276"/>
      </w:pPr>
      <w:r>
        <w:rPr>
          <w:rFonts w:ascii="Aptos" w:cs="Aptos" w:eastAsia="Aptos" w:hAnsi="Aptos"/>
          <w:sz w:val="21"/>
          <w:szCs w:val="21"/>
        </w:rPr>
        <w:t xml:space="preserve">Mobile: tiles stack to a single column, or scroll horizontally — do not shrink the figures below legibility.</w:t>
      </w:r>
    </w:p>
    <w:p>
      <w:pPr>
        <w:spacing w:after="80" w:before="220"/>
      </w:pPr>
      <w:r>
        <w:rPr>
          <w:rFonts w:ascii="Aptos" w:cs="Aptos" w:eastAsia="Aptos" w:hAnsi="Aptos"/>
          <w:b/>
          <w:bCs/>
          <w:color w:val="5A6472"/>
          <w:spacing w:val="34"/>
          <w:sz w:val="16"/>
          <w:szCs w:val="16"/>
        </w:rPr>
        <w:t xml:space="preserve">SEO / AEO</w:t>
      </w:r>
    </w:p>
    <w:p>
      <w:pPr>
        <w:pStyle w:val="ListParagraph"/>
        <w:numPr>
          <w:ilvl w:val="0"/>
          <w:numId w:val="2"/>
        </w:numPr>
        <w:spacing w:after="60" w:line="276"/>
      </w:pPr>
      <w:r>
        <w:rPr>
          <w:rFonts w:ascii="Aptos" w:cs="Aptos" w:eastAsia="Aptos" w:hAnsi="Aptos"/>
          <w:b/>
          <w:bCs/>
          <w:sz w:val="21"/>
          <w:szCs w:val="21"/>
        </w:rPr>
        <w:t xml:space="preserve">Carries: </w:t>
      </w:r>
      <w:r>
        <w:rPr>
          <w:rFonts w:ascii="Aptos" w:cs="Aptos" w:eastAsia="Aptos" w:hAnsi="Aptos"/>
          <w:sz w:val="21"/>
          <w:szCs w:val="21"/>
        </w:rPr>
        <w:t xml:space="preserve">“NEPRA cyber security regulations 2022”, “NEPRA IT OT regulations”.</w:t>
      </w:r>
    </w:p>
    <w:p>
      <w:pPr>
        <w:pStyle w:val="ListParagraph"/>
        <w:numPr>
          <w:ilvl w:val="0"/>
          <w:numId w:val="2"/>
        </w:numPr>
        <w:spacing w:after="60" w:line="276"/>
      </w:pPr>
      <w:r>
        <w:rPr>
          <w:rFonts w:ascii="Aptos" w:cs="Aptos" w:eastAsia="Aptos" w:hAnsi="Aptos"/>
          <w:b/>
          <w:bCs/>
          <w:sz w:val="21"/>
          <w:szCs w:val="21"/>
        </w:rPr>
        <w:t xml:space="preserve">Entity coverage. </w:t>
      </w:r>
      <w:r>
        <w:rPr>
          <w:rFonts w:ascii="Aptos" w:cs="Aptos" w:eastAsia="Aptos" w:hAnsi="Aptos"/>
          <w:sz w:val="21"/>
          <w:szCs w:val="21"/>
        </w:rPr>
        <w:t xml:space="preserve">This block must name, at least once each: NEPRA, PowerCERT, the National CERT, ISMO, SCADA, DCS, PLC, RTU, IED, HMI. Answer engines resolve what a page is about from entity co-occurrence, and this vocabulary is what separates a real compliance page from a generic security page.</w:t>
      </w:r>
    </w:p>
    <w:p>
      <w:pPr>
        <w:pStyle w:val="ListParagraph"/>
        <w:numPr>
          <w:ilvl w:val="0"/>
          <w:numId w:val="2"/>
        </w:numPr>
        <w:spacing w:after="60" w:line="276"/>
      </w:pPr>
      <w:r>
        <w:rPr>
          <w:rFonts w:ascii="Aptos" w:cs="Aptos" w:eastAsia="Aptos" w:hAnsi="Aptos"/>
          <w:sz w:val="21"/>
          <w:szCs w:val="21"/>
        </w:rPr>
        <w:t xml:space="preserve">The capsule is the most likely single block on the page to be cited by an assistant. Do not let it drift above 60 words in editing.</w:t>
      </w:r>
    </w:p>
    <w:p>
      <w:pPr>
        <w:spacing w:after="120"/>
      </w:pPr>
      <w:r>
        <w:rPr>
          <w:rFonts w:ascii="Aptos" w:cs="Aptos" w:eastAsia="Aptos" w:hAnsi="Aptos"/>
          <w:sz w:val="21"/>
          <w:szCs w:val="21"/>
        </w:rPr>
        <w:t xml:space="preserve"/>
      </w:r>
    </w:p>
    <w:tbl>
      <w:tblPr>
        <w:tblW w:type="dxa" w:w="9026"/>
        <w:tblBorders>
          <w:top w:val="single" w:color="F2F5FA" w:sz="2"/>
          <w:left w:val="single" w:color="1F6FEB" w:sz="16"/>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50"/>
              <w:left w:type="dxa" w:w="210"/>
              <w:bottom w:type="dxa" w:w="150"/>
              <w:right w:type="dxa" w:w="210"/>
            </w:tcMar>
          </w:tcPr>
          <w:p>
            <w:r>
              <w:rPr>
                <w:rFonts w:ascii="Aptos" w:cs="Aptos" w:eastAsia="Aptos" w:hAnsi="Aptos"/>
                <w:b/>
                <w:bCs/>
                <w:color w:val="1F6FEB"/>
                <w:sz w:val="16"/>
                <w:szCs w:val="16"/>
              </w:rPr>
              <w:t xml:space="preserve">SUBSTITUTION  </w:t>
            </w:r>
            <w:r>
              <w:rPr>
                <w:rFonts w:ascii="Aptos" w:cs="Aptos" w:eastAsia="Aptos" w:hAnsi="Aptos"/>
                <w:sz w:val="20"/>
                <w:szCs w:val="20"/>
              </w:rPr>
              <w:t xml:space="preserve">Body ¶1 opens “They are already in force, and they are not guidance.” That sentence was the old H2. It carries the persuasion; the new H2 carries the search term. Keep both — losing the sentence to save a line would cost the block its edge.</w:t>
            </w:r>
          </w:p>
        </w:tc>
      </w:tr>
    </w:tbl>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03</w:t>
      </w:r>
    </w:p>
    <w:p>
      <w:pPr>
        <w:pStyle w:val="Heading2"/>
        <w:spacing w:after="60"/>
      </w:pPr>
      <w:r>
        <w:rPr>
          <w:rFonts w:ascii="Aptos" w:cs="Aptos" w:eastAsia="Aptos" w:hAnsi="Aptos"/>
          <w:b/>
          <w:bCs/>
          <w:color w:val="0A1B3D"/>
          <w:sz w:val="27"/>
          <w:szCs w:val="27"/>
        </w:rPr>
        <w:t xml:space="preserve">NEPRA compliance services for power sector licensees</w:t>
      </w:r>
    </w:p>
    <w:p>
      <w:pPr>
        <w:spacing w:after="150"/>
      </w:pPr>
      <w:r>
        <w:rPr>
          <w:rFonts w:ascii="Aptos" w:cs="Aptos" w:eastAsia="Aptos" w:hAnsi="Aptos"/>
          <w:color w:val="5A6472"/>
          <w:sz w:val="20"/>
          <w:szCs w:val="20"/>
        </w:rPr>
        <w:t xml:space="preserve">The compliance bundle exactly as it appeared on the mailed flyer, with the regulation numbers corrected.</w:t>
      </w:r>
    </w:p>
    <w:p>
      <w:pPr>
        <w:spacing w:after="80" w:before="220"/>
      </w:pPr>
      <w:r>
        <w:rPr>
          <w:rFonts w:ascii="Aptos" w:cs="Aptos" w:eastAsia="Aptos" w:hAnsi="Aptos"/>
          <w:b/>
          <w:bCs/>
          <w:color w:val="5A6472"/>
          <w:spacing w:val="34"/>
          <w:sz w:val="16"/>
          <w:szCs w:val="16"/>
        </w:rPr>
        <w:t xml:space="preserve">COPY — SECTION</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NEPRA compliance services for power sector licensees</w:t>
            </w:r>
            <w:r>
              <w:rPr>
                <w:rFonts w:ascii="Aptos" w:cs="Aptos" w:eastAsia="Aptos" w:hAnsi="Aptos"/>
                <w:color w:val="8A94A3"/>
                <w:sz w:val="15"/>
                <w:szCs w:val="15"/>
              </w:rPr>
              <w:t xml:space="preserve">   52 ch</w:t>
            </w:r>
          </w:p>
        </w:tc>
      </w:tr>
      <w:tr>
        <w:tc>
          <w:tcPr>
            <w:tcW w:type="dxa" w:w="1700"/>
            <w:shd w:fill="EAF3FF" w:color="auto" w:val="clear"/>
            <w:tcMar>
              <w:top w:type="dxa" w:w="120"/>
              <w:left w:type="dxa" w:w="140"/>
              <w:bottom w:type="dxa" w:w="120"/>
              <w:right w:type="dxa" w:w="140"/>
            </w:tcMar>
          </w:tcPr>
          <w:p>
            <w:pPr>
              <w:spacing w:after="0"/>
            </w:pPr>
            <w:r>
              <w:rPr>
                <w:rFonts w:ascii="Aptos" w:cs="Aptos" w:eastAsia="Aptos" w:hAnsi="Aptos"/>
                <w:b/>
                <w:bCs/>
                <w:color w:val="1F6FEB"/>
                <w:spacing w:val="20"/>
                <w:sz w:val="16"/>
                <w:szCs w:val="16"/>
              </w:rPr>
              <w:t xml:space="preserve">ANSWER CAPSULE</w:t>
            </w:r>
          </w:p>
        </w:tc>
        <w:tc>
          <w:tcPr>
            <w:tcW w:type="dxa" w:w="7326"/>
            <w:shd w:fill="F6FAFF" w:color="auto" w:val="clear"/>
            <w:tcMar>
              <w:top w:type="dxa" w:w="120"/>
              <w:left w:type="dxa" w:w="150"/>
              <w:bottom w:type="dxa" w:w="120"/>
              <w:right w:type="dxa" w:w="150"/>
            </w:tcMar>
          </w:tcPr>
          <w:p>
            <w:pPr>
              <w:spacing w:after="0" w:line="266"/>
            </w:pPr>
            <w:r>
              <w:rPr>
                <w:rFonts w:ascii="Aptos" w:cs="Aptos" w:eastAsia="Aptos" w:hAnsi="Aptos"/>
                <w:i/>
                <w:iCs/>
                <w:sz w:val="20"/>
                <w:szCs w:val="20"/>
              </w:rPr>
              <w:t xml:space="preserve">xLoop delivers four NEPRA compliance services: a clause-by-clause compliance audit against Regulations 4 to 11, IT and OT vulnerability assessment and penetration testing under Regulation 6, security policy and governance frameworks under Regulation 4, and cybersecurity awareness and SCADA operator training under Regulation 10.</w:t>
            </w:r>
            <w:r>
              <w:rPr>
                <w:rFonts w:ascii="Aptos" w:cs="Aptos" w:eastAsia="Aptos" w:hAnsi="Aptos"/>
                <w:color w:val="8A94A3"/>
                <w:sz w:val="15"/>
                <w:szCs w:val="15"/>
              </w:rPr>
              <w:t xml:space="preserve">   329 ch</w:t>
            </w:r>
            <w:r>
              <w:rPr>
                <w:rFonts w:ascii="Aptos" w:cs="Aptos" w:eastAsia="Aptos" w:hAnsi="Aptos"/>
                <w:color w:val="8A94A3"/>
                <w:sz w:val="15"/>
                <w:szCs w:val="15"/>
              </w:rPr>
              <w:t xml:space="preserve"> · 44 words</w:t>
            </w:r>
          </w:p>
          <w:p>
            <w:pPr>
              <w:spacing w:before="70"/>
            </w:pPr>
            <w:r>
              <w:rPr>
                <w:rFonts w:ascii="Aptos" w:cs="Aptos" w:eastAsia="Aptos" w:hAnsi="Aptos"/>
                <w:i/>
                <w:iCs/>
                <w:color w:val="5A6472"/>
                <w:sz w:val="17"/>
                <w:szCs w:val="17"/>
              </w:rPr>
              <w:t xml:space="preserve">〔V6〕 If the Category-1 requirement is confirmed, “a clause-by-clause compliance audit” becomes “a clause-by-clause compliance readiness assessment”.</w:t>
            </w:r>
          </w:p>
        </w:tc>
      </w:tr>
    </w:tbl>
    <w:p>
      <w:pPr>
        <w:spacing w:after="80" w:before="220"/>
      </w:pPr>
      <w:r>
        <w:rPr>
          <w:rFonts w:ascii="Aptos" w:cs="Aptos" w:eastAsia="Aptos" w:hAnsi="Aptos"/>
          <w:b/>
          <w:bCs/>
          <w:color w:val="5A6472"/>
          <w:spacing w:val="34"/>
          <w:sz w:val="16"/>
          <w:szCs w:val="16"/>
        </w:rPr>
        <w:t xml:space="preserve">COPY — THE FOUR CARDS</w:t>
      </w:r>
    </w:p>
    <w:p>
      <w:pPr>
        <w:spacing w:after="70" w:before="190"/>
      </w:pPr>
      <w:r>
        <w:rPr>
          <w:rFonts w:ascii="Aptos" w:cs="Aptos" w:eastAsia="Aptos" w:hAnsi="Aptos"/>
          <w:b/>
          <w:bCs/>
          <w:color w:val="1F6FEB"/>
          <w:spacing w:val="26"/>
          <w:sz w:val="18"/>
          <w:szCs w:val="18"/>
        </w:rPr>
        <w:t xml:space="preserve">CARD 1</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REG LABEL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Regulation 4–11</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NEPRA Compliance Audit</w:t>
            </w:r>
            <w:r>
              <w:rPr>
                <w:rFonts w:ascii="Aptos" w:cs="Aptos" w:eastAsia="Aptos" w:hAnsi="Aptos"/>
                <w:color w:val="8A94A3"/>
                <w:sz w:val="15"/>
                <w:szCs w:val="15"/>
              </w:rPr>
              <w:t xml:space="preserve">   22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CARD 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A clause-by-clause assessment of your IT and OT environments against every operative regulation — scored, evidenced and mapped. You get a compliance position you can show NEPRA, and a ranked list of what to fix first.</w:t>
            </w:r>
            <w:r>
              <w:rPr>
                <w:rFonts w:ascii="Aptos" w:cs="Aptos" w:eastAsia="Aptos" w:hAnsi="Aptos"/>
                <w:color w:val="8A94A3"/>
                <w:sz w:val="15"/>
                <w:szCs w:val="15"/>
              </w:rPr>
              <w:t xml:space="preserve">   217 ch</w:t>
            </w:r>
          </w:p>
          <w:p>
            <w:pPr>
              <w:spacing w:before="70"/>
            </w:pPr>
            <w:r>
              <w:rPr>
                <w:rFonts w:ascii="Aptos" w:cs="Aptos" w:eastAsia="Aptos" w:hAnsi="Aptos"/>
                <w:i/>
                <w:iCs/>
                <w:color w:val="5A6472"/>
                <w:sz w:val="17"/>
                <w:szCs w:val="17"/>
              </w:rPr>
              <w:t xml:space="preserve">〔V6〕 The card most affected if a recognised firm is required.</w:t>
            </w:r>
          </w:p>
        </w:tc>
      </w:tr>
    </w:tbl>
    <w:p>
      <w:pPr>
        <w:spacing w:after="70" w:before="190"/>
      </w:pPr>
      <w:r>
        <w:rPr>
          <w:rFonts w:ascii="Aptos" w:cs="Aptos" w:eastAsia="Aptos" w:hAnsi="Aptos"/>
          <w:b/>
          <w:bCs/>
          <w:color w:val="1F6FEB"/>
          <w:spacing w:val="26"/>
          <w:sz w:val="18"/>
          <w:szCs w:val="18"/>
        </w:rPr>
        <w:t xml:space="preserve">CARD 2</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REG LABEL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Regulation 6</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IT &amp; OT VAPT Services</w:t>
            </w:r>
            <w:r>
              <w:rPr>
                <w:rFonts w:ascii="Aptos" w:cs="Aptos" w:eastAsia="Aptos" w:hAnsi="Aptos"/>
                <w:color w:val="8A94A3"/>
                <w:sz w:val="15"/>
                <w:szCs w:val="15"/>
              </w:rPr>
              <w:t xml:space="preserve">   21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CARD 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Controlled penetration testing of the IT perimeter, plus a non-intrusive exposure assessment of the OT environment. We find what an attacker would find — without touching plant availability to do it.</w:t>
            </w:r>
            <w:r>
              <w:rPr>
                <w:rFonts w:ascii="Aptos" w:cs="Aptos" w:eastAsia="Aptos" w:hAnsi="Aptos"/>
                <w:color w:val="8A94A3"/>
                <w:sz w:val="15"/>
                <w:szCs w:val="15"/>
              </w:rPr>
              <w:t xml:space="preserve">   199 ch</w:t>
            </w:r>
          </w:p>
          <w:p>
            <w:pPr>
              <w:spacing w:before="70"/>
            </w:pPr>
            <w:r>
              <w:rPr>
                <w:rFonts w:ascii="Aptos" w:cs="Aptos" w:eastAsia="Aptos" w:hAnsi="Aptos"/>
                <w:i/>
                <w:iCs/>
                <w:color w:val="5A6472"/>
                <w:sz w:val="17"/>
                <w:szCs w:val="17"/>
              </w:rPr>
              <w:t xml:space="preserve">The clause “without touching plant availability” is load-bearing. It answers the first objection a plant manager raises, and it is the only place on the page that does so outside the FAQ. Do not cut it for length.</w:t>
            </w:r>
          </w:p>
        </w:tc>
      </w:tr>
    </w:tbl>
    <w:p>
      <w:pPr>
        <w:spacing w:after="70" w:before="190"/>
      </w:pPr>
      <w:r>
        <w:rPr>
          <w:rFonts w:ascii="Aptos" w:cs="Aptos" w:eastAsia="Aptos" w:hAnsi="Aptos"/>
          <w:b/>
          <w:bCs/>
          <w:color w:val="1F6FEB"/>
          <w:spacing w:val="26"/>
          <w:sz w:val="18"/>
          <w:szCs w:val="18"/>
        </w:rPr>
        <w:t xml:space="preserve">CARD 3</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REG LABEL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Regulation 4</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Security Policy Framework</w:t>
            </w:r>
            <w:r>
              <w:rPr>
                <w:rFonts w:ascii="Aptos" w:cs="Aptos" w:eastAsia="Aptos" w:hAnsi="Aptos"/>
                <w:color w:val="8A94A3"/>
                <w:sz w:val="15"/>
                <w:szCs w:val="15"/>
              </w:rPr>
              <w:t xml:space="preserve">   25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CARD 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The approved policies, SOPs and governance structure the regulations require: cybersecurity organisation, the CISO or cyber lead role, asset classification, change and patch management, business continuity, and the reporting channel to NEPRA and PowerCERT. Where the documents do not exist, we write them.</w:t>
            </w:r>
            <w:r>
              <w:rPr>
                <w:rFonts w:ascii="Aptos" w:cs="Aptos" w:eastAsia="Aptos" w:hAnsi="Aptos"/>
                <w:color w:val="8A94A3"/>
                <w:sz w:val="15"/>
                <w:szCs w:val="15"/>
              </w:rPr>
              <w:t xml:space="preserve">   305 ch</w:t>
            </w:r>
          </w:p>
          <w:p>
            <w:pPr>
              <w:spacing w:before="70"/>
            </w:pPr>
            <w:r>
              <w:rPr>
                <w:rFonts w:ascii="Aptos" w:cs="Aptos" w:eastAsia="Aptos" w:hAnsi="Aptos"/>
                <w:i/>
                <w:iCs/>
                <w:color w:val="5A6472"/>
                <w:sz w:val="17"/>
                <w:szCs w:val="17"/>
              </w:rPr>
              <w:t xml:space="preserve">Longest card. Set the grid to equal heights and let the shorter cards carry the whitespace rather than padding this one out.</w:t>
            </w:r>
          </w:p>
        </w:tc>
      </w:tr>
    </w:tbl>
    <w:p>
      <w:pPr>
        <w:spacing w:after="70" w:before="190"/>
      </w:pPr>
      <w:r>
        <w:rPr>
          <w:rFonts w:ascii="Aptos" w:cs="Aptos" w:eastAsia="Aptos" w:hAnsi="Aptos"/>
          <w:b/>
          <w:bCs/>
          <w:color w:val="1F6FEB"/>
          <w:spacing w:val="26"/>
          <w:sz w:val="18"/>
          <w:szCs w:val="18"/>
        </w:rPr>
        <w:t xml:space="preserve">CARD 4</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REG LABEL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Regulation 10</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Cybersecurity Awareness &amp; Training</w:t>
            </w:r>
            <w:r>
              <w:rPr>
                <w:rFonts w:ascii="Aptos" w:cs="Aptos" w:eastAsia="Aptos" w:hAnsi="Aptos"/>
                <w:color w:val="8A94A3"/>
                <w:sz w:val="15"/>
                <w:szCs w:val="15"/>
              </w:rPr>
              <w:t xml:space="preserve">   34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CARD 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Awareness programmes for corporate IT staff and targeted training for SCADA operators and plant engineers, plus the response-team structure that Regulation 9 assumes you already have. Roles, accountability and reporting lines, made explicit.</w:t>
            </w:r>
            <w:r>
              <w:rPr>
                <w:rFonts w:ascii="Aptos" w:cs="Aptos" w:eastAsia="Aptos" w:hAnsi="Aptos"/>
                <w:color w:val="8A94A3"/>
                <w:sz w:val="15"/>
                <w:szCs w:val="15"/>
              </w:rPr>
              <w:t xml:space="preserve">   241 ch</w:t>
            </w:r>
          </w:p>
        </w:tc>
      </w:tr>
    </w:tbl>
    <w:p>
      <w:pPr>
        <w:spacing w:after="140"/>
      </w:pPr>
      <w:r>
        <w:rPr>
          <w:rFonts w:ascii="Aptos" w:cs="Aptos" w:eastAsia="Aptos" w:hAnsi="Aptos"/>
          <w:sz w:val="21"/>
          <w:szCs w:val="21"/>
        </w:rPr>
        <w:t xml:space="preserve"/>
      </w:r>
    </w:p>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Two by two at desktop, single column on mobile.</w:t>
      </w:r>
    </w:p>
    <w:p>
      <w:pPr>
        <w:pStyle w:val="ListParagraph"/>
        <w:numPr>
          <w:ilvl w:val="0"/>
          <w:numId w:val="2"/>
        </w:numPr>
        <w:spacing w:after="60" w:line="276"/>
      </w:pPr>
      <w:r>
        <w:rPr>
          <w:rFonts w:ascii="Aptos" w:cs="Aptos" w:eastAsia="Aptos" w:hAnsi="Aptos"/>
          <w:b/>
          <w:bCs/>
          <w:sz w:val="21"/>
          <w:szCs w:val="21"/>
        </w:rPr>
        <w:t xml:space="preserve">Assets: </w:t>
      </w:r>
      <w:r>
        <w:rPr>
          <w:rFonts w:ascii="Aptos" w:cs="Aptos" w:eastAsia="Aptos" w:hAnsi="Aptos"/>
          <w:sz w:val="21"/>
          <w:szCs w:val="21"/>
        </w:rPr>
        <w:t xml:space="preserve">four icons in the existing capability-card style — 34px rounded square, 1px blue border, single glyph. Suggested subjects: clipboard with checkmark (audit), shield with crosshair (VAPT), document stack (policy), people (training).</w:t>
      </w:r>
    </w:p>
    <w:p>
      <w:pPr>
        <w:spacing w:after="80" w:before="220"/>
      </w:pPr>
      <w:r>
        <w:rPr>
          <w:rFonts w:ascii="Aptos" w:cs="Aptos" w:eastAsia="Aptos" w:hAnsi="Aptos"/>
          <w:b/>
          <w:bCs/>
          <w:color w:val="5A6472"/>
          <w:spacing w:val="34"/>
          <w:sz w:val="16"/>
          <w:szCs w:val="16"/>
        </w:rPr>
        <w:t xml:space="preserve">SEO / AEO</w:t>
      </w:r>
    </w:p>
    <w:p>
      <w:pPr>
        <w:pStyle w:val="ListParagraph"/>
        <w:numPr>
          <w:ilvl w:val="0"/>
          <w:numId w:val="2"/>
        </w:numPr>
        <w:spacing w:after="60" w:line="276"/>
      </w:pPr>
      <w:r>
        <w:rPr>
          <w:rFonts w:ascii="Aptos" w:cs="Aptos" w:eastAsia="Aptos" w:hAnsi="Aptos"/>
          <w:sz w:val="21"/>
          <w:szCs w:val="21"/>
        </w:rPr>
        <w:t xml:space="preserve">Each card title is an H3 leading with the service term, not the regulation number — “IT &amp; OT VAPT Services (Regulation 6)”, not “Regulation 6 — VAPT”.</w:t>
      </w:r>
    </w:p>
    <w:p>
      <w:pPr>
        <w:pStyle w:val="ListParagraph"/>
        <w:numPr>
          <w:ilvl w:val="0"/>
          <w:numId w:val="2"/>
        </w:numPr>
        <w:spacing w:after="60" w:line="276"/>
      </w:pPr>
      <w:r>
        <w:rPr>
          <w:rFonts w:ascii="Aptos" w:cs="Aptos" w:eastAsia="Aptos" w:hAnsi="Aptos"/>
          <w:sz w:val="21"/>
          <w:szCs w:val="21"/>
        </w:rPr>
        <w:t xml:space="preserve">The four service names must match the OfferCatalog entries in the Service schema word for word.</w:t>
      </w:r>
    </w:p>
    <w:p>
      <w:pPr>
        <w:spacing w:after="120"/>
      </w:pPr>
      <w:r>
        <w:rPr>
          <w:rFonts w:ascii="Aptos" w:cs="Aptos" w:eastAsia="Aptos" w:hAnsi="Aptos"/>
          <w:sz w:val="21"/>
          <w:szCs w:val="21"/>
        </w:rPr>
        <w:t xml:space="preserve"/>
      </w:r>
    </w:p>
    <w:tbl>
      <w:tblPr>
        <w:tblW w:type="dxa" w:w="9026"/>
        <w:tblBorders>
          <w:top w:val="single" w:color="F2F5FA" w:sz="2"/>
          <w:left w:val="single" w:color="1F6FEB" w:sz="16"/>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50"/>
              <w:left w:type="dxa" w:w="210"/>
              <w:bottom w:type="dxa" w:w="150"/>
              <w:right w:type="dxa" w:w="210"/>
            </w:tcMar>
          </w:tcPr>
          <w:p>
            <w:r>
              <w:rPr>
                <w:rFonts w:ascii="Aptos" w:cs="Aptos" w:eastAsia="Aptos" w:hAnsi="Aptos"/>
                <w:b/>
                <w:bCs/>
                <w:color w:val="1F6FEB"/>
                <w:sz w:val="16"/>
                <w:szCs w:val="16"/>
              </w:rPr>
              <w:t xml:space="preserve">FOR SALES, NOT FOR THE PAGE  </w:t>
            </w:r>
            <w:r>
              <w:rPr>
                <w:rFonts w:ascii="Aptos" w:cs="Aptos" w:eastAsia="Aptos" w:hAnsi="Aptos"/>
                <w:sz w:val="20"/>
                <w:szCs w:val="20"/>
              </w:rPr>
              <w:t xml:space="preserve">The flyer’s four bundles leave out Regulation 5 (security controls implementation) and Regulation 7 (data integrity and confidentiality), which the audit does in fact cover. Block 04 closes that gap on the page — but whoever takes the calls should know the audit is broader than the four headline blocks.</w:t>
            </w:r>
          </w:p>
        </w:tc>
      </w:tr>
    </w:tbl>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04</w:t>
      </w:r>
    </w:p>
    <w:p>
      <w:pPr>
        <w:pStyle w:val="Heading2"/>
        <w:spacing w:after="60"/>
      </w:pPr>
      <w:r>
        <w:rPr>
          <w:rFonts w:ascii="Aptos" w:cs="Aptos" w:eastAsia="Aptos" w:hAnsi="Aptos"/>
          <w:b/>
          <w:bCs/>
          <w:color w:val="0A1B3D"/>
          <w:sz w:val="27"/>
          <w:szCs w:val="27"/>
        </w:rPr>
        <w:t xml:space="preserve">NEPRA compliance requirements, Regulation 4 to 11</w:t>
      </w:r>
    </w:p>
    <w:p>
      <w:pPr>
        <w:spacing w:after="150"/>
      </w:pPr>
      <w:r>
        <w:rPr>
          <w:rFonts w:ascii="Aptos" w:cs="Aptos" w:eastAsia="Aptos" w:hAnsi="Aptos"/>
          <w:color w:val="5A6472"/>
          <w:sz w:val="20"/>
          <w:szCs w:val="20"/>
        </w:rPr>
        <w:t xml:space="preserve">Clause-by-clause proof of scope. The highest-value block on the page for search, for answer engines, and for the technical reader.</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NEPRA compliance requirements, Regulation 4 to 11</w:t>
            </w:r>
            <w:r>
              <w:rPr>
                <w:rFonts w:ascii="Aptos" w:cs="Aptos" w:eastAsia="Aptos" w:hAnsi="Aptos"/>
                <w:color w:val="8A94A3"/>
                <w:sz w:val="15"/>
                <w:szCs w:val="15"/>
              </w:rPr>
              <w:t xml:space="preserve">   49 ch</w:t>
            </w:r>
          </w:p>
        </w:tc>
      </w:tr>
      <w:tr>
        <w:tc>
          <w:tcPr>
            <w:tcW w:type="dxa" w:w="1700"/>
            <w:shd w:fill="EAF3FF" w:color="auto" w:val="clear"/>
            <w:tcMar>
              <w:top w:type="dxa" w:w="120"/>
              <w:left w:type="dxa" w:w="140"/>
              <w:bottom w:type="dxa" w:w="120"/>
              <w:right w:type="dxa" w:w="140"/>
            </w:tcMar>
          </w:tcPr>
          <w:p>
            <w:pPr>
              <w:spacing w:after="0"/>
            </w:pPr>
            <w:r>
              <w:rPr>
                <w:rFonts w:ascii="Aptos" w:cs="Aptos" w:eastAsia="Aptos" w:hAnsi="Aptos"/>
                <w:b/>
                <w:bCs/>
                <w:color w:val="1F6FEB"/>
                <w:spacing w:val="20"/>
                <w:sz w:val="16"/>
                <w:szCs w:val="16"/>
              </w:rPr>
              <w:t xml:space="preserve">ANSWER CAPSULE</w:t>
            </w:r>
          </w:p>
        </w:tc>
        <w:tc>
          <w:tcPr>
            <w:tcW w:type="dxa" w:w="7326"/>
            <w:shd w:fill="F6FAFF" w:color="auto" w:val="clear"/>
            <w:tcMar>
              <w:top w:type="dxa" w:w="120"/>
              <w:left w:type="dxa" w:w="150"/>
              <w:bottom w:type="dxa" w:w="120"/>
              <w:right w:type="dxa" w:w="150"/>
            </w:tcMar>
          </w:tcPr>
          <w:p>
            <w:pPr>
              <w:spacing w:after="0" w:line="266"/>
            </w:pPr>
            <w:r>
              <w:rPr>
                <w:rFonts w:ascii="Aptos" w:cs="Aptos" w:eastAsia="Aptos" w:hAnsi="Aptos"/>
                <w:i/>
                <w:iCs/>
                <w:sz w:val="20"/>
                <w:szCs w:val="20"/>
              </w:rPr>
              <w:t xml:space="preserve">The operative NEPRA obligations run from Regulation 4 to Regulation 11: security policy and governance, security controls implementation, risk and vulnerability assessment, data integrity and confidentiality, authority-mandated audit support, monitoring and incident response, awareness and training, and regulatory reporting. Regulations 1 to 3 cover title, commencement and definitions.</w:t>
            </w:r>
            <w:r>
              <w:rPr>
                <w:rFonts w:ascii="Aptos" w:cs="Aptos" w:eastAsia="Aptos" w:hAnsi="Aptos"/>
                <w:color w:val="8A94A3"/>
                <w:sz w:val="15"/>
                <w:szCs w:val="15"/>
              </w:rPr>
              <w:t xml:space="preserve">   388 ch</w:t>
            </w:r>
            <w:r>
              <w:rPr>
                <w:rFonts w:ascii="Aptos" w:cs="Aptos" w:eastAsia="Aptos" w:hAnsi="Aptos"/>
                <w:color w:val="8A94A3"/>
                <w:sz w:val="15"/>
                <w:szCs w:val="15"/>
              </w:rPr>
              <w:t xml:space="preserve"> · 48 words</w:t>
            </w:r>
          </w:p>
          <w:p>
            <w:pPr>
              <w:spacing w:before="70"/>
            </w:pPr>
            <w:r>
              <w:rPr>
                <w:rFonts w:ascii="Aptos" w:cs="Aptos" w:eastAsia="Aptos" w:hAnsi="Aptos"/>
                <w:i/>
                <w:iCs/>
                <w:color w:val="5A6472"/>
                <w:sz w:val="17"/>
                <w:szCs w:val="17"/>
              </w:rPr>
              <w:t xml:space="preserve">The single highest-value capsule on the page. It is the direct answer to “what does NEPRA require”, and no competitor has published it.</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INTRO</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What each regulation requires of a licensee, and what we do about it.</w:t>
            </w:r>
            <w:r>
              <w:rPr>
                <w:rFonts w:ascii="Aptos" w:cs="Aptos" w:eastAsia="Aptos" w:hAnsi="Aptos"/>
                <w:color w:val="8A94A3"/>
                <w:sz w:val="15"/>
                <w:szCs w:val="15"/>
              </w:rPr>
              <w:t xml:space="preserve">   69 ch</w:t>
            </w:r>
          </w:p>
          <w:p>
            <w:pPr>
              <w:spacing w:before="70"/>
            </w:pPr>
            <w:r>
              <w:rPr>
                <w:rFonts w:ascii="Aptos" w:cs="Aptos" w:eastAsia="Aptos" w:hAnsi="Aptos"/>
                <w:i/>
                <w:iCs/>
                <w:color w:val="5A6472"/>
                <w:sz w:val="17"/>
                <w:szCs w:val="17"/>
              </w:rPr>
              <w:t xml:space="preserve">Doubles as the table &lt;caption&gt;.</w:t>
            </w:r>
          </w:p>
        </w:tc>
      </w:tr>
    </w:tbl>
    <w:p>
      <w:pPr>
        <w:spacing w:after="80" w:before="220"/>
      </w:pPr>
      <w:r>
        <w:rPr>
          <w:rFonts w:ascii="Aptos" w:cs="Aptos" w:eastAsia="Aptos" w:hAnsi="Aptos"/>
          <w:b/>
          <w:bCs/>
          <w:color w:val="5A6472"/>
          <w:spacing w:val="34"/>
          <w:sz w:val="16"/>
          <w:szCs w:val="16"/>
        </w:rPr>
        <w:t xml:space="preserve">COPY — THE TABLE</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700"/>
        <w:gridCol w:w="2600"/>
        <w:gridCol w:w="5726"/>
      </w:tblGrid>
      <w:tr>
        <w:trPr>
          <w:tblHeader/>
        </w:trPr>
        <w:tc>
          <w:tcPr>
            <w:tcW w:type="dxa" w:w="7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Reg.</w:t>
            </w:r>
          </w:p>
        </w:tc>
        <w:tc>
          <w:tcPr>
            <w:tcW w:type="dxa" w:w="2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What it requires</w:t>
            </w:r>
          </w:p>
        </w:tc>
        <w:tc>
          <w:tcPr>
            <w:tcW w:type="dxa" w:w="57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What we do</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4</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policy &amp; governance</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Policies, SOPs, cyber organisation, CISO/lead appointment, asset inventory and classification, change and patch procedures, BCP, NEPRA/PowerCERT channel</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5</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controls implementation</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IAM and least privilege, MFA, IT–OT segregation, firewalls and allow-listing, secure vendor VPN, endpoint and removable-media control, IDS/IPS at OT boundaries, log retention, control-room access, GPS time sync</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6</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risk &amp; vulnerability assessment</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Annual IT and OT risk assessment, vulnerability assessment across SCADA and IT, critical-system identification, remediation programme, reassessment after incidents or major change</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7</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Data integrity &amp; confidentiality</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Controls over IT/OT data authenticity, secure exchange with grid operators and ISMO, restricted access to critical telemetry</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8</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Authority-mandated audit support</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Readiness for a NEPRA-directed technical audit, and an evidence pack organised for submission</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9</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Monitoring &amp; incident response</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Control monitoring across IT and OT, incident response plan for plant and SCADA, response-team procedures, recovery and restoration, reporting to National CERT and PowerCERT</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10</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Awareness &amp; training</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Awareness programmes for IT and OT personnel, SCADA operator and engineer training, roles and reporting lines</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11</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Regulatory reporting</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Quarterly incident reporting to NEPRA, </w:t>
            </w:r>
            <w:r>
              <w:rPr>
                <w:rFonts w:ascii="Consolas" w:cs="Consolas" w:eastAsia="Consolas" w:hAnsi="Consolas"/>
                <w:b/>
                <w:bCs/>
                <w:color w:val="B45309"/>
                <w:sz w:val="15"/>
                <w:szCs w:val="15"/>
              </w:rPr>
              <w:t xml:space="preserve">〔V2〕</w:t>
            </w:r>
            <w:r>
              <w:rPr>
                <w:rFonts w:ascii="Aptos" w:cs="Aptos" w:eastAsia="Aptos" w:hAnsi="Aptos"/>
                <w:sz w:val="19"/>
                <w:szCs w:val="19"/>
              </w:rPr>
              <w:t xml:space="preserve">72-hour reporting of significant incidents, documentation and correspondence with the Authority</w:t>
            </w:r>
          </w:p>
        </w:tc>
      </w:tr>
    </w:tbl>
    <w:p>
      <w:pPr>
        <w:spacing w:after="140"/>
      </w:pPr>
      <w:r>
        <w:rPr>
          <w:rFonts w:ascii="Aptos" w:cs="Aptos" w:eastAsia="Aptos" w:hAnsi="Aptos"/>
          <w:sz w:val="21"/>
          <w:szCs w:val="21"/>
        </w:rPr>
        <w:t xml:space="preserve"/>
      </w:r>
    </w:p>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A real </w:t>
      </w:r>
      <w:r>
        <w:rPr>
          <w:rFonts w:ascii="Consolas" w:cs="Consolas" w:eastAsia="Consolas" w:hAnsi="Consolas"/>
          <w:sz w:val="17"/>
          <w:szCs w:val="17"/>
        </w:rPr>
        <w:t xml:space="preserve">&lt;table&gt;</w:t>
      </w:r>
      <w:r>
        <w:rPr>
          <w:rFonts w:ascii="Aptos" w:cs="Aptos" w:eastAsia="Aptos" w:hAnsi="Aptos"/>
          <w:sz w:val="21"/>
          <w:szCs w:val="21"/>
        </w:rPr>
        <w:t xml:space="preserve"> with a </w:t>
      </w:r>
      <w:r>
        <w:rPr>
          <w:rFonts w:ascii="Consolas" w:cs="Consolas" w:eastAsia="Consolas" w:hAnsi="Consolas"/>
          <w:sz w:val="17"/>
          <w:szCs w:val="17"/>
        </w:rPr>
        <w:t xml:space="preserve">&lt;caption&gt;</w:t>
      </w:r>
      <w:r>
        <w:rPr>
          <w:rFonts w:ascii="Aptos" w:cs="Aptos" w:eastAsia="Aptos" w:hAnsi="Aptos"/>
          <w:sz w:val="21"/>
          <w:szCs w:val="21"/>
        </w:rPr>
        <w:t xml:space="preserve"> reading “NEPRA IT/OT compliance requirements by regulation”. Style the caption as the section intro — it costs nothing visually and is read by assistants and screen readers.</w:t>
      </w:r>
    </w:p>
    <w:p>
      <w:pPr>
        <w:pStyle w:val="ListParagraph"/>
        <w:numPr>
          <w:ilvl w:val="0"/>
          <w:numId w:val="2"/>
        </w:numPr>
        <w:spacing w:after="60" w:line="276"/>
      </w:pPr>
      <w:r>
        <w:rPr>
          <w:rFonts w:ascii="Aptos" w:cs="Aptos" w:eastAsia="Aptos" w:hAnsi="Aptos"/>
          <w:sz w:val="21"/>
          <w:szCs w:val="21"/>
        </w:rPr>
        <w:t xml:space="preserve">Each regulation number in the first cell as </w:t>
      </w:r>
      <w:r>
        <w:rPr>
          <w:rFonts w:ascii="Consolas" w:cs="Consolas" w:eastAsia="Consolas" w:hAnsi="Consolas"/>
          <w:sz w:val="17"/>
          <w:szCs w:val="17"/>
        </w:rPr>
        <w:t xml:space="preserve">&lt;th scope="row"&gt;</w:t>
      </w:r>
      <w:r>
        <w:rPr>
          <w:rFonts w:ascii="Aptos" w:cs="Aptos" w:eastAsia="Aptos" w:hAnsi="Aptos"/>
          <w:sz w:val="21"/>
          <w:szCs w:val="21"/>
        </w:rPr>
        <w:t xml:space="preserve">. This is what lets an assistant answer “what is Regulation 6” by pulling one row instead of the whole table.</w:t>
      </w:r>
    </w:p>
    <w:p>
      <w:pPr>
        <w:pStyle w:val="ListParagraph"/>
        <w:numPr>
          <w:ilvl w:val="0"/>
          <w:numId w:val="2"/>
        </w:numPr>
        <w:spacing w:after="60" w:line="276"/>
      </w:pPr>
      <w:r>
        <w:rPr>
          <w:rFonts w:ascii="Aptos" w:cs="Aptos" w:eastAsia="Aptos" w:hAnsi="Aptos"/>
          <w:b/>
          <w:bCs/>
          <w:sz w:val="21"/>
          <w:szCs w:val="21"/>
        </w:rPr>
        <w:t xml:space="preserve">No images, no canvas, no divs pretending to be a table. </w:t>
      </w:r>
      <w:r>
        <w:rPr>
          <w:rFonts w:ascii="Aptos" w:cs="Aptos" w:eastAsia="Aptos" w:hAnsi="Aptos"/>
          <w:sz w:val="21"/>
          <w:szCs w:val="21"/>
        </w:rPr>
        <w:t xml:space="preserve">If it cannot be selected as text, it does not exist.</w:t>
      </w:r>
    </w:p>
    <w:p>
      <w:pPr>
        <w:pStyle w:val="ListParagraph"/>
        <w:numPr>
          <w:ilvl w:val="0"/>
          <w:numId w:val="2"/>
        </w:numPr>
        <w:spacing w:after="60" w:line="276"/>
      </w:pPr>
      <w:r>
        <w:rPr>
          <w:rFonts w:ascii="Aptos" w:cs="Aptos" w:eastAsia="Aptos" w:hAnsi="Aptos"/>
          <w:sz w:val="21"/>
          <w:szCs w:val="21"/>
        </w:rPr>
        <w:t xml:space="preserve">Mobile: let it scroll horizontally inside its own </w:t>
      </w:r>
      <w:r>
        <w:rPr>
          <w:rFonts w:ascii="Consolas" w:cs="Consolas" w:eastAsia="Consolas" w:hAnsi="Consolas"/>
          <w:sz w:val="17"/>
          <w:szCs w:val="17"/>
        </w:rPr>
        <w:t xml:space="preserve">overflow-x: auto</w:t>
      </w:r>
      <w:r>
        <w:rPr>
          <w:rFonts w:ascii="Aptos" w:cs="Aptos" w:eastAsia="Aptos" w:hAnsi="Aptos"/>
          <w:sz w:val="21"/>
          <w:szCs w:val="21"/>
        </w:rPr>
        <w:t xml:space="preserve"> container. Do not collapse the columns into stacked cards — the row relationship is the content.</w:t>
      </w:r>
    </w:p>
    <w:p>
      <w:pPr>
        <w:spacing w:after="80" w:before="220"/>
      </w:pPr>
      <w:r>
        <w:rPr>
          <w:rFonts w:ascii="Aptos" w:cs="Aptos" w:eastAsia="Aptos" w:hAnsi="Aptos"/>
          <w:b/>
          <w:bCs/>
          <w:color w:val="5A6472"/>
          <w:spacing w:val="34"/>
          <w:sz w:val="16"/>
          <w:szCs w:val="16"/>
        </w:rPr>
        <w:t xml:space="preserve">SEO / AEO</w:t>
      </w:r>
    </w:p>
    <w:p>
      <w:pPr>
        <w:pStyle w:val="ListParagraph"/>
        <w:numPr>
          <w:ilvl w:val="0"/>
          <w:numId w:val="2"/>
        </w:numPr>
        <w:spacing w:after="60" w:line="276"/>
      </w:pPr>
      <w:r>
        <w:rPr>
          <w:rFonts w:ascii="Aptos" w:cs="Aptos" w:eastAsia="Aptos" w:hAnsi="Aptos"/>
          <w:b/>
          <w:bCs/>
          <w:sz w:val="21"/>
          <w:szCs w:val="21"/>
        </w:rPr>
        <w:t xml:space="preserve">Carries: </w:t>
      </w:r>
      <w:r>
        <w:rPr>
          <w:rFonts w:ascii="Aptos" w:cs="Aptos" w:eastAsia="Aptos" w:hAnsi="Aptos"/>
          <w:sz w:val="21"/>
          <w:szCs w:val="21"/>
        </w:rPr>
        <w:t xml:space="preserve">“NEPRA compliance checklist”, “NEPRA IT OT requirements”, and every “what is Regulation N” long-tail.</w:t>
      </w:r>
    </w:p>
    <w:p>
      <w:pPr>
        <w:pStyle w:val="ListParagraph"/>
        <w:numPr>
          <w:ilvl w:val="0"/>
          <w:numId w:val="2"/>
        </w:numPr>
        <w:spacing w:after="60" w:line="276"/>
      </w:pPr>
      <w:r>
        <w:rPr>
          <w:rFonts w:ascii="Aptos" w:cs="Aptos" w:eastAsia="Aptos" w:hAnsi="Aptos"/>
          <w:sz w:val="21"/>
          <w:szCs w:val="21"/>
        </w:rPr>
        <w:t xml:space="preserve">Write regulation numbers out as “Regulation 6”, never “Reg. 6” or an icon. That exact string is how a model retrieves the row.</w:t>
      </w:r>
    </w:p>
    <w:p>
      <w:pPr>
        <w:pStyle w:val="ListParagraph"/>
        <w:numPr>
          <w:ilvl w:val="0"/>
          <w:numId w:val="2"/>
        </w:numPr>
        <w:spacing w:after="60" w:line="276"/>
      </w:pPr>
      <w:r>
        <w:rPr>
          <w:rFonts w:ascii="Aptos" w:cs="Aptos" w:eastAsia="Aptos" w:hAnsi="Aptos"/>
          <w:sz w:val="21"/>
          <w:szCs w:val="21"/>
        </w:rPr>
        <w:t xml:space="preserve">This block plus block 08 is the entire competitive differentiator. Every competitor sells the service; none has published the requirement.</w:t>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05</w:t>
      </w:r>
    </w:p>
    <w:p>
      <w:pPr>
        <w:pStyle w:val="Heading2"/>
        <w:spacing w:after="60"/>
      </w:pPr>
      <w:r>
        <w:rPr>
          <w:rFonts w:ascii="Aptos" w:cs="Aptos" w:eastAsia="Aptos" w:hAnsi="Aptos"/>
          <w:b/>
          <w:bCs/>
          <w:color w:val="0A1B3D"/>
          <w:sz w:val="27"/>
          <w:szCs w:val="27"/>
        </w:rPr>
        <w:t xml:space="preserve">Mid-page CTA</w:t>
      </w:r>
    </w:p>
    <w:p>
      <w:pPr>
        <w:spacing w:after="150"/>
      </w:pPr>
      <w:r>
        <w:rPr>
          <w:rFonts w:ascii="Aptos" w:cs="Aptos" w:eastAsia="Aptos" w:hAnsi="Aptos"/>
          <w:color w:val="5A6472"/>
          <w:sz w:val="20"/>
          <w:szCs w:val="20"/>
        </w:rPr>
        <w:t xml:space="preserve">A quiet strip for the reader who is already convinced and does not need the credentials.</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Not sure which regulations you are already meeting? That is what the first call is for.</w:t>
            </w:r>
            <w:r>
              <w:rPr>
                <w:rFonts w:ascii="Aptos" w:cs="Aptos" w:eastAsia="Aptos" w:hAnsi="Aptos"/>
                <w:color w:val="8A94A3"/>
                <w:sz w:val="15"/>
                <w:szCs w:val="15"/>
              </w:rPr>
              <w:t xml:space="preserve">   87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Call +92 21 3586 9200</w:t>
            </w:r>
            <w:r>
              <w:rPr>
                <w:rFonts w:ascii="Aptos" w:cs="Aptos" w:eastAsia="Aptos" w:hAnsi="Aptos"/>
                <w:b/>
                <w:bCs/>
                <w:color w:val="1F6FEB"/>
                <w:sz w:val="20"/>
                <w:szCs w:val="20"/>
              </w:rPr>
              <w:t xml:space="preserve"> ]</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Email xsecurity@xloopdigital.com</w:t>
            </w:r>
            <w:r>
              <w:rPr>
                <w:rFonts w:ascii="Aptos" w:cs="Aptos" w:eastAsia="Aptos" w:hAnsi="Aptos"/>
                <w:b/>
                <w:bCs/>
                <w:color w:val="1F6FEB"/>
                <w:sz w:val="20"/>
                <w:szCs w:val="20"/>
              </w:rPr>
              <w:t xml:space="preserve"> ]</w:t>
            </w:r>
          </w:p>
        </w:tc>
      </w:tr>
    </w:tbl>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Single-line strip, full width, no image. Visually lighter than block 09, so the closing CTA still lands as the page’s conclusion.</w:t>
      </w:r>
    </w:p>
    <w:p>
      <w:pPr>
        <w:pStyle w:val="ListParagraph"/>
        <w:numPr>
          <w:ilvl w:val="0"/>
          <w:numId w:val="2"/>
        </w:numPr>
        <w:spacing w:after="60" w:line="276"/>
      </w:pPr>
      <w:r>
        <w:rPr>
          <w:rFonts w:ascii="Aptos" w:cs="Aptos" w:eastAsia="Aptos" w:hAnsi="Aptos"/>
          <w:b/>
          <w:bCs/>
          <w:sz w:val="21"/>
          <w:szCs w:val="21"/>
        </w:rPr>
        <w:t xml:space="preserve">No heading on this block. </w:t>
      </w:r>
      <w:r>
        <w:rPr>
          <w:rFonts w:ascii="Aptos" w:cs="Aptos" w:eastAsia="Aptos" w:hAnsi="Aptos"/>
          <w:sz w:val="21"/>
          <w:szCs w:val="21"/>
        </w:rPr>
        <w:t xml:space="preserve">A CTA strip with an H2 dilutes the heading hierarchy for no gain.</w:t>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06</w:t>
      </w:r>
    </w:p>
    <w:p>
      <w:pPr>
        <w:pStyle w:val="Heading2"/>
        <w:spacing w:after="60"/>
      </w:pPr>
      <w:r>
        <w:rPr>
          <w:rFonts w:ascii="Aptos" w:cs="Aptos" w:eastAsia="Aptos" w:hAnsi="Aptos"/>
          <w:b/>
          <w:bCs/>
          <w:color w:val="0A1B3D"/>
          <w:sz w:val="27"/>
          <w:szCs w:val="27"/>
        </w:rPr>
        <w:t xml:space="preserve">What a NEPRA compliance audit delivers</w:t>
      </w:r>
    </w:p>
    <w:p>
      <w:pPr>
        <w:spacing w:after="150"/>
      </w:pPr>
      <w:r>
        <w:rPr>
          <w:rFonts w:ascii="Aptos" w:cs="Aptos" w:eastAsia="Aptos" w:hAnsi="Aptos"/>
          <w:color w:val="5A6472"/>
          <w:sz w:val="20"/>
          <w:szCs w:val="20"/>
        </w:rPr>
        <w:t xml:space="preserve">Converts an abstract service into a concrete list of documents. This is what a procurement reader is looking for.</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What a NEPRA compliance audit delivers</w:t>
            </w:r>
            <w:r>
              <w:rPr>
                <w:rFonts w:ascii="Aptos" w:cs="Aptos" w:eastAsia="Aptos" w:hAnsi="Aptos"/>
                <w:color w:val="8A94A3"/>
                <w:sz w:val="15"/>
                <w:szCs w:val="15"/>
              </w:rPr>
              <w:t xml:space="preserve">   38 ch</w:t>
            </w:r>
          </w:p>
        </w:tc>
      </w:tr>
      <w:tr>
        <w:tc>
          <w:tcPr>
            <w:tcW w:type="dxa" w:w="1700"/>
            <w:shd w:fill="EAF3FF" w:color="auto" w:val="clear"/>
            <w:tcMar>
              <w:top w:type="dxa" w:w="120"/>
              <w:left w:type="dxa" w:w="140"/>
              <w:bottom w:type="dxa" w:w="120"/>
              <w:right w:type="dxa" w:w="140"/>
            </w:tcMar>
          </w:tcPr>
          <w:p>
            <w:pPr>
              <w:spacing w:after="0"/>
            </w:pPr>
            <w:r>
              <w:rPr>
                <w:rFonts w:ascii="Aptos" w:cs="Aptos" w:eastAsia="Aptos" w:hAnsi="Aptos"/>
                <w:b/>
                <w:bCs/>
                <w:color w:val="1F6FEB"/>
                <w:spacing w:val="20"/>
                <w:sz w:val="16"/>
                <w:szCs w:val="16"/>
              </w:rPr>
              <w:t xml:space="preserve">ANSWER CAPSULE</w:t>
            </w:r>
          </w:p>
        </w:tc>
        <w:tc>
          <w:tcPr>
            <w:tcW w:type="dxa" w:w="7326"/>
            <w:shd w:fill="F6FAFF" w:color="auto" w:val="clear"/>
            <w:tcMar>
              <w:top w:type="dxa" w:w="120"/>
              <w:left w:type="dxa" w:w="150"/>
              <w:bottom w:type="dxa" w:w="120"/>
              <w:right w:type="dxa" w:w="150"/>
            </w:tcMar>
          </w:tcPr>
          <w:p>
            <w:pPr>
              <w:spacing w:after="0" w:line="266"/>
            </w:pPr>
            <w:r>
              <w:rPr>
                <w:rFonts w:ascii="Aptos" w:cs="Aptos" w:eastAsia="Aptos" w:hAnsi="Aptos"/>
                <w:i/>
                <w:iCs/>
                <w:sz w:val="20"/>
                <w:szCs w:val="20"/>
              </w:rPr>
              <w:t xml:space="preserve">A NEPRA compliance audit should produce six documents: a compliance report scored clause by clause against Regulations 4 to 11, a risk and gap analysis, a VAPT report covering IT and OT, a Statement of Applicability, a prioritised remediation roadmap, and a closing presentation for management.</w:t>
            </w:r>
            <w:r>
              <w:rPr>
                <w:rFonts w:ascii="Aptos" w:cs="Aptos" w:eastAsia="Aptos" w:hAnsi="Aptos"/>
                <w:color w:val="8A94A3"/>
                <w:sz w:val="15"/>
                <w:szCs w:val="15"/>
              </w:rPr>
              <w:t xml:space="preserve">   294 ch</w:t>
            </w:r>
            <w:r>
              <w:rPr>
                <w:rFonts w:ascii="Aptos" w:cs="Aptos" w:eastAsia="Aptos" w:hAnsi="Aptos"/>
                <w:color w:val="8A94A3"/>
                <w:sz w:val="15"/>
                <w:szCs w:val="15"/>
              </w:rPr>
              <w:t xml:space="preserve"> · 46 words</w:t>
            </w:r>
          </w:p>
          <w:p>
            <w:pPr>
              <w:spacing w:before="70"/>
            </w:pPr>
            <w:r>
              <w:rPr>
                <w:rFonts w:ascii="Aptos" w:cs="Aptos" w:eastAsia="Aptos" w:hAnsi="Aptos"/>
                <w:i/>
                <w:iCs/>
                <w:color w:val="5A6472"/>
                <w:sz w:val="17"/>
                <w:szCs w:val="17"/>
              </w:rPr>
              <w:t xml:space="preserve">Deliberately impersonal — “A NEPRA compliance audit should produce…”, not “We produce…”. The impersonal form gets cited by assistants answering a category question; the first person reads as advertising and gets skipped. Brand attribution happens in the surrounding block and in the schema.</w:t>
            </w:r>
          </w:p>
        </w:tc>
      </w:tr>
    </w:tbl>
    <w:p>
      <w:pPr>
        <w:spacing w:after="80" w:before="220"/>
      </w:pPr>
      <w:r>
        <w:rPr>
          <w:rFonts w:ascii="Aptos" w:cs="Aptos" w:eastAsia="Aptos" w:hAnsi="Aptos"/>
          <w:b/>
          <w:bCs/>
          <w:color w:val="5A6472"/>
          <w:spacing w:val="34"/>
          <w:sz w:val="16"/>
          <w:szCs w:val="16"/>
        </w:rPr>
        <w:t xml:space="preserve">COPY — THE SIX DELIVERABLES</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2700"/>
        <w:gridCol w:w="6326"/>
      </w:tblGrid>
      <w:tr>
        <w:trPr>
          <w:tblHeader/>
        </w:trPr>
        <w:tc>
          <w:tcPr>
            <w:tcW w:type="dxa" w:w="27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Deliverable</w:t>
            </w:r>
          </w:p>
        </w:tc>
        <w:tc>
          <w:tcPr>
            <w:tcW w:type="dxa" w:w="63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Description</w:t>
            </w:r>
          </w:p>
        </w:tc>
      </w:tr>
      <w:tr>
        <w:tc>
          <w:tcPr>
            <w:tcW w:type="dxa" w:w="2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NEPRA Compliance Report</w:t>
            </w:r>
          </w:p>
        </w:tc>
        <w:tc>
          <w:tcPr>
            <w:tcW w:type="dxa" w:w="63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Clause-by-clause scoring against Regulations 4–11.</w:t>
            </w:r>
          </w:p>
        </w:tc>
      </w:tr>
      <w:tr>
        <w:tc>
          <w:tcPr>
            <w:tcW w:type="dxa" w:w="2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Risk &amp; Gap Analysis</w:t>
            </w:r>
          </w:p>
        </w:tc>
        <w:tc>
          <w:tcPr>
            <w:tcW w:type="dxa" w:w="63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Findings rated and prioritised.</w:t>
            </w:r>
          </w:p>
        </w:tc>
      </w:tr>
      <w:tr>
        <w:tc>
          <w:tcPr>
            <w:tcW w:type="dxa" w:w="2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VAPT Report</w:t>
            </w:r>
          </w:p>
        </w:tc>
        <w:tc>
          <w:tcPr>
            <w:tcW w:type="dxa" w:w="63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IT penetration testing results and OT exposure findings.</w:t>
            </w:r>
          </w:p>
        </w:tc>
      </w:tr>
      <w:tr>
        <w:tc>
          <w:tcPr>
            <w:tcW w:type="dxa" w:w="2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Statement of Applicability</w:t>
            </w:r>
          </w:p>
        </w:tc>
        <w:tc>
          <w:tcPr>
            <w:tcW w:type="dxa" w:w="63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Every clause mapped to your IT and OT systems, with justifications and evidence expectations.</w:t>
            </w:r>
          </w:p>
        </w:tc>
      </w:tr>
      <w:tr>
        <w:tc>
          <w:tcPr>
            <w:tcW w:type="dxa" w:w="2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Remediation roadmap</w:t>
            </w:r>
          </w:p>
        </w:tc>
        <w:tc>
          <w:tcPr>
            <w:tcW w:type="dxa" w:w="63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Sequenced, with owners.</w:t>
            </w:r>
          </w:p>
        </w:tc>
      </w:tr>
      <w:tr>
        <w:tc>
          <w:tcPr>
            <w:tcW w:type="dxa" w:w="2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Closing presentation</w:t>
            </w:r>
          </w:p>
        </w:tc>
        <w:tc>
          <w:tcPr>
            <w:tcW w:type="dxa" w:w="63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Executive-ready, for your board or management committee.</w:t>
            </w:r>
          </w:p>
        </w:tc>
      </w:tr>
    </w:tbl>
    <w:p>
      <w:pPr>
        <w:spacing w:after="140"/>
      </w:pPr>
      <w:r>
        <w:rPr>
          <w:rFonts w:ascii="Aptos" w:cs="Aptos" w:eastAsia="Aptos" w:hAnsi="Aptos"/>
          <w:sz w:val="21"/>
          <w:szCs w:val="21"/>
        </w:rPr>
        <w:t xml:space="preserve"/>
      </w:r>
    </w:p>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A numbered or ruled list reads better here than cards. These are deliverables in a set, not parallel options — cards would imply you pick between them.</w:t>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07</w:t>
      </w:r>
    </w:p>
    <w:p>
      <w:pPr>
        <w:pStyle w:val="Heading2"/>
        <w:spacing w:after="60"/>
      </w:pPr>
      <w:r>
        <w:rPr>
          <w:rFonts w:ascii="Aptos" w:cs="Aptos" w:eastAsia="Aptos" w:hAnsi="Aptos"/>
          <w:b/>
          <w:bCs/>
          <w:color w:val="0A1B3D"/>
          <w:sz w:val="27"/>
          <w:szCs w:val="27"/>
        </w:rPr>
        <w:t xml:space="preserve">Why licensees choose xLoop for NEPRA compliance</w:t>
      </w:r>
    </w:p>
    <w:p>
      <w:pPr>
        <w:spacing w:after="150"/>
      </w:pPr>
      <w:r>
        <w:rPr>
          <w:rFonts w:ascii="Aptos" w:cs="Aptos" w:eastAsia="Aptos" w:hAnsi="Aptos"/>
          <w:color w:val="5A6472"/>
          <w:sz w:val="20"/>
          <w:szCs w:val="20"/>
        </w:rPr>
        <w:t xml:space="preserve">Credentials. Stated conservatively and deliberately — see the constraint note.</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Why licensees choose xLoop for NEPRA compliance</w:t>
            </w:r>
            <w:r>
              <w:rPr>
                <w:rFonts w:ascii="Aptos" w:cs="Aptos" w:eastAsia="Aptos" w:hAnsi="Aptos"/>
                <w:color w:val="8A94A3"/>
                <w:sz w:val="15"/>
                <w:szCs w:val="15"/>
              </w:rPr>
              <w:t xml:space="preserve">   47 ch</w:t>
            </w:r>
          </w:p>
        </w:tc>
      </w:tr>
      <w:tr>
        <w:tc>
          <w:tcPr>
            <w:tcW w:type="dxa" w:w="1700"/>
            <w:shd w:fill="EAF3FF" w:color="auto" w:val="clear"/>
            <w:tcMar>
              <w:top w:type="dxa" w:w="120"/>
              <w:left w:type="dxa" w:w="140"/>
              <w:bottom w:type="dxa" w:w="120"/>
              <w:right w:type="dxa" w:w="140"/>
            </w:tcMar>
          </w:tcPr>
          <w:p>
            <w:pPr>
              <w:spacing w:after="0"/>
            </w:pPr>
            <w:r>
              <w:rPr>
                <w:rFonts w:ascii="Aptos" w:cs="Aptos" w:eastAsia="Aptos" w:hAnsi="Aptos"/>
                <w:b/>
                <w:bCs/>
                <w:color w:val="1F6FEB"/>
                <w:spacing w:val="20"/>
                <w:sz w:val="16"/>
                <w:szCs w:val="16"/>
              </w:rPr>
              <w:t xml:space="preserve">ANSWER CAPSULE</w:t>
            </w:r>
          </w:p>
        </w:tc>
        <w:tc>
          <w:tcPr>
            <w:tcW w:type="dxa" w:w="7326"/>
            <w:shd w:fill="F6FAFF" w:color="auto" w:val="clear"/>
            <w:tcMar>
              <w:top w:type="dxa" w:w="120"/>
              <w:left w:type="dxa" w:w="150"/>
              <w:bottom w:type="dxa" w:w="120"/>
              <w:right w:type="dxa" w:w="150"/>
            </w:tcMar>
          </w:tcPr>
          <w:p>
            <w:pPr>
              <w:spacing w:after="0" w:line="266"/>
            </w:pPr>
            <w:r>
              <w:rPr>
                <w:rFonts w:ascii="Aptos" w:cs="Aptos" w:eastAsia="Aptos" w:hAnsi="Aptos"/>
                <w:i/>
                <w:iCs/>
                <w:sz w:val="20"/>
                <w:szCs w:val="20"/>
              </w:rPr>
              <w:t xml:space="preserve">xLoop Digital’s NEPRA audits are led by certified ISO 27001 and ISO 42001 Lead Auditors, and the practice has delivered a full IT and OT compliance audit for a live </w:t>
            </w:r>
            <w:r>
              <w:rPr>
                <w:rFonts w:ascii="Consolas" w:cs="Consolas" w:eastAsia="Consolas" w:hAnsi="Consolas"/>
                <w:b/>
                <w:bCs/>
                <w:color w:val="B45309"/>
                <w:sz w:val="15"/>
                <w:szCs w:val="15"/>
              </w:rPr>
              <w:t xml:space="preserve">〔V3〕</w:t>
            </w:r>
            <w:r>
              <w:rPr>
                <w:rFonts w:ascii="Aptos" w:cs="Aptos" w:eastAsia="Aptos" w:hAnsi="Aptos"/>
                <w:i/>
                <w:iCs/>
                <w:sz w:val="20"/>
                <w:szCs w:val="20"/>
              </w:rPr>
              <w:t xml:space="preserve">30 MW wind IPP across a head office and two plant sites. The security practice is based in Karachi.</w:t>
            </w:r>
            <w:r>
              <w:rPr>
                <w:rFonts w:ascii="Aptos" w:cs="Aptos" w:eastAsia="Aptos" w:hAnsi="Aptos"/>
                <w:color w:val="8A94A3"/>
                <w:sz w:val="15"/>
                <w:szCs w:val="15"/>
              </w:rPr>
              <w:t xml:space="preserve">   264 ch</w:t>
            </w:r>
            <w:r>
              <w:rPr>
                <w:rFonts w:ascii="Aptos" w:cs="Aptos" w:eastAsia="Aptos" w:hAnsi="Aptos"/>
                <w:color w:val="8A94A3"/>
                <w:sz w:val="15"/>
                <w:szCs w:val="15"/>
              </w:rPr>
              <w:t xml:space="preserve"> · 49 words</w:t>
            </w:r>
          </w:p>
          <w:p>
            <w:pPr>
              <w:spacing w:before="70"/>
            </w:pPr>
            <w:r>
              <w:rPr>
                <w:rFonts w:ascii="Aptos" w:cs="Aptos" w:eastAsia="Aptos" w:hAnsi="Aptos"/>
                <w:i/>
                <w:iCs/>
                <w:color w:val="5A6472"/>
                <w:sz w:val="17"/>
                <w:szCs w:val="17"/>
              </w:rPr>
              <w:t xml:space="preserve">〔V6〕 Also affected if the Category-1 requirement is confirmed.</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POINT 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Audits led by certified ISO 27001 and ISO 42001 Lead Auditors.</w:t>
            </w:r>
            <w:r>
              <w:rPr>
                <w:rFonts w:ascii="Aptos" w:cs="Aptos" w:eastAsia="Aptos" w:hAnsi="Aptos"/>
                <w:color w:val="8A94A3"/>
                <w:sz w:val="15"/>
                <w:szCs w:val="15"/>
              </w:rPr>
              <w:t xml:space="preserve">   62 ch</w:t>
            </w:r>
          </w:p>
          <w:p>
            <w:pPr>
              <w:spacing w:before="70"/>
            </w:pPr>
            <w:r>
              <w:rPr>
                <w:rFonts w:ascii="Aptos" w:cs="Aptos" w:eastAsia="Aptos" w:hAnsi="Aptos"/>
                <w:i/>
                <w:iCs/>
                <w:color w:val="5A6472"/>
                <w:sz w:val="17"/>
                <w:szCs w:val="17"/>
              </w:rPr>
              <w:t xml:space="preserve">Individual-level certification. Do not upgrade this to “xLoop is ISO 27001 certified” unless the company certificate exists.</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POINT 2</w:t>
            </w:r>
          </w:p>
        </w:tc>
        <w:tc>
          <w:tcPr>
            <w:tcW w:type="dxa" w:w="7326"/>
            <w:shd w:fill="FFFFFF" w:color="auto" w:val="clear"/>
            <w:tcMar>
              <w:top w:type="dxa" w:w="120"/>
              <w:left w:type="dxa" w:w="150"/>
              <w:bottom w:type="dxa" w:w="120"/>
              <w:right w:type="dxa" w:w="150"/>
            </w:tcMar>
          </w:tcPr>
          <w:p>
            <w:pPr>
              <w:spacing w:after="0" w:line="266"/>
            </w:pPr>
            <w:r>
              <w:rPr>
                <w:rFonts w:ascii="Consolas" w:cs="Consolas" w:eastAsia="Consolas" w:hAnsi="Consolas"/>
                <w:b/>
                <w:bCs/>
                <w:color w:val="B45309"/>
                <w:sz w:val="15"/>
                <w:szCs w:val="15"/>
              </w:rPr>
              <w:t xml:space="preserve">〔V3〕</w:t>
            </w:r>
            <w:r>
              <w:rPr>
                <w:rFonts w:ascii="Aptos" w:cs="Aptos" w:eastAsia="Aptos" w:hAnsi="Aptos"/>
                <w:sz w:val="20"/>
                <w:szCs w:val="20"/>
              </w:rPr>
              <w:t xml:space="preserve">We have delivered a full NEPRA IT/OT compliance audit for a live 30 MW wind IPP, covering head office and two plant sites.</w:t>
            </w:r>
            <w:r>
              <w:rPr>
                <w:rFonts w:ascii="Aptos" w:cs="Aptos" w:eastAsia="Aptos" w:hAnsi="Aptos"/>
                <w:color w:val="8A94A3"/>
                <w:sz w:val="15"/>
                <w:szCs w:val="15"/>
              </w:rPr>
              <w:t xml:space="preserve">   122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POINT 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Clause-level regulatory traceability. An evidence-based, defensible assessment, not a checklist.</w:t>
            </w:r>
            <w:r>
              <w:rPr>
                <w:rFonts w:ascii="Aptos" w:cs="Aptos" w:eastAsia="Aptos" w:hAnsi="Aptos"/>
                <w:color w:val="8A94A3"/>
                <w:sz w:val="15"/>
                <w:szCs w:val="15"/>
              </w:rPr>
              <w:t xml:space="preserve">   96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POINT 4</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A Karachi-based security practice, inside a digital engineering firm operating across nine countries.</w:t>
            </w:r>
            <w:r>
              <w:rPr>
                <w:rFonts w:ascii="Aptos" w:cs="Aptos" w:eastAsia="Aptos" w:hAnsi="Aptos"/>
                <w:color w:val="8A94A3"/>
                <w:sz w:val="15"/>
                <w:szCs w:val="15"/>
              </w:rPr>
              <w:t xml:space="preserve">   101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POINT 5 — optional</w:t>
            </w:r>
          </w:p>
        </w:tc>
        <w:tc>
          <w:tcPr>
            <w:tcW w:type="dxa" w:w="7326"/>
            <w:shd w:fill="FFFFFF" w:color="auto" w:val="clear"/>
            <w:tcMar>
              <w:top w:type="dxa" w:w="120"/>
              <w:left w:type="dxa" w:w="150"/>
              <w:bottom w:type="dxa" w:w="120"/>
              <w:right w:type="dxa" w:w="150"/>
            </w:tcMar>
          </w:tcPr>
          <w:p>
            <w:pPr>
              <w:spacing w:after="0" w:line="266"/>
            </w:pPr>
            <w:r>
              <w:rPr>
                <w:rFonts w:ascii="Consolas" w:cs="Consolas" w:eastAsia="Consolas" w:hAnsi="Consolas"/>
                <w:b/>
                <w:bCs/>
                <w:color w:val="B45309"/>
                <w:sz w:val="15"/>
                <w:szCs w:val="15"/>
              </w:rPr>
              <w:t xml:space="preserve">〔V4〕</w:t>
            </w:r>
            <w:r>
              <w:rPr>
                <w:rFonts w:ascii="Aptos" w:cs="Aptos" w:eastAsia="Aptos" w:hAnsi="Aptos"/>
                <w:sz w:val="20"/>
                <w:szCs w:val="20"/>
              </w:rPr>
              <w:t xml:space="preserve">Methodology aligned to NEPRA IT/OT, ISO 27001, IEC 62443 and MITRE ATT&amp;CK.</w:t>
            </w:r>
            <w:r>
              <w:rPr>
                <w:rFonts w:ascii="Aptos" w:cs="Aptos" w:eastAsia="Aptos" w:hAnsi="Aptos"/>
                <w:color w:val="8A94A3"/>
                <w:sz w:val="15"/>
                <w:szCs w:val="15"/>
              </w:rPr>
              <w:t xml:space="preserve">   74 ch</w:t>
            </w:r>
          </w:p>
          <w:p>
            <w:pPr>
              <w:spacing w:before="70"/>
            </w:pPr>
            <w:r>
              <w:rPr>
                <w:rFonts w:ascii="Aptos" w:cs="Aptos" w:eastAsia="Aptos" w:hAnsi="Aptos"/>
                <w:i/>
                <w:iCs/>
                <w:color w:val="5A6472"/>
                <w:sz w:val="17"/>
                <w:szCs w:val="17"/>
              </w:rPr>
              <w:t xml:space="preserve">Hold this line until 〔V4〕 is confirmed. Your own proposal makes the claim, but it was not approved for publication, so it is drafted here rather than included.</w:t>
            </w:r>
          </w:p>
        </w:tc>
      </w:tr>
    </w:tbl>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b/>
          <w:bCs/>
          <w:sz w:val="21"/>
          <w:szCs w:val="21"/>
        </w:rPr>
        <w:t xml:space="preserve">Do not add certification badges or a logo wall to this block. </w:t>
      </w:r>
      <w:r>
        <w:rPr>
          <w:rFonts w:ascii="Aptos" w:cs="Aptos" w:eastAsia="Aptos" w:hAnsi="Aptos"/>
          <w:sz w:val="21"/>
          <w:szCs w:val="21"/>
        </w:rPr>
        <w:t xml:space="preserve">There are no company certification marks approved for this page. If the block looks empty, ask before sourcing anything.</w:t>
      </w:r>
    </w:p>
    <w:p>
      <w:pPr>
        <w:spacing w:after="60"/>
      </w:pPr>
      <w:r>
        <w:rPr>
          <w:rFonts w:ascii="Aptos" w:cs="Aptos" w:eastAsia="Aptos" w:hAnsi="Aptos"/>
          <w:sz w:val="21"/>
          <w:szCs w:val="21"/>
        </w:rPr>
        <w:t xml:space="preserve"/>
      </w:r>
    </w:p>
    <w:tbl>
      <w:tblPr>
        <w:tblW w:type="dxa" w:w="9026"/>
        <w:tblBorders>
          <w:top w:val="single" w:color="FFF4E5" w:sz="2"/>
          <w:left w:val="single" w:color="F59E0B" w:sz="16"/>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50"/>
              <w:left w:type="dxa" w:w="210"/>
              <w:bottom w:type="dxa" w:w="150"/>
              <w:right w:type="dxa" w:w="210"/>
            </w:tcMar>
          </w:tcPr>
          <w:p>
            <w:r>
              <w:rPr>
                <w:rFonts w:ascii="Aptos" w:cs="Aptos" w:eastAsia="Aptos" w:hAnsi="Aptos"/>
                <w:b/>
                <w:bCs/>
                <w:color w:val="B45309"/>
                <w:sz w:val="16"/>
                <w:szCs w:val="16"/>
              </w:rPr>
              <w:t xml:space="preserve">THREE CONSTRAINTS, SET DELIBERATELY  </w:t>
            </w:r>
            <w:r>
              <w:rPr>
                <w:rFonts w:ascii="Aptos" w:cs="Aptos" w:eastAsia="Aptos" w:hAnsi="Aptos"/>
                <w:sz w:val="20"/>
                <w:szCs w:val="20"/>
              </w:rPr>
              <w:t xml:space="preserve">One: named individuals hold the ISO certifications — the company is not claimed to be certified. Two: the wind IPP stays anonymous. Three: NIST, IEC 62443 and MITRE ATT&amp;CK are not claimed pending </w:t>
            </w:r>
            <w:r>
              <w:rPr>
                <w:rFonts w:ascii="Consolas" w:cs="Consolas" w:eastAsia="Consolas" w:hAnsi="Consolas"/>
                <w:b/>
                <w:bCs/>
                <w:color w:val="B45309"/>
                <w:sz w:val="15"/>
                <w:szCs w:val="15"/>
              </w:rPr>
              <w:t xml:space="preserve">〔V4〕</w:t>
            </w:r>
            <w:r>
              <w:rPr>
                <w:rFonts w:ascii="Aptos" w:cs="Aptos" w:eastAsia="Aptos" w:hAnsi="Aptos"/>
                <w:sz w:val="20"/>
                <w:szCs w:val="20"/>
              </w:rPr>
              <w:t xml:space="preserve">. Copy that gets “strengthened” in review will break one of these.</w:t>
            </w:r>
          </w:p>
        </w:tc>
      </w:tr>
    </w:tbl>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08</w:t>
      </w:r>
    </w:p>
    <w:p>
      <w:pPr>
        <w:pStyle w:val="Heading2"/>
        <w:spacing w:after="60"/>
      </w:pPr>
      <w:r>
        <w:rPr>
          <w:rFonts w:ascii="Aptos" w:cs="Aptos" w:eastAsia="Aptos" w:hAnsi="Aptos"/>
          <w:b/>
          <w:bCs/>
          <w:color w:val="0A1B3D"/>
          <w:sz w:val="27"/>
          <w:szCs w:val="27"/>
        </w:rPr>
        <w:t xml:space="preserve">NEPRA IT/OT compliance: frequently asked questions</w:t>
      </w:r>
    </w:p>
    <w:p>
      <w:pPr>
        <w:spacing w:after="150"/>
      </w:pPr>
      <w:r>
        <w:rPr>
          <w:rFonts w:ascii="Aptos" w:cs="Aptos" w:eastAsia="Aptos" w:hAnsi="Aptos"/>
          <w:color w:val="5A6472"/>
          <w:sz w:val="20"/>
          <w:szCs w:val="20"/>
        </w:rPr>
        <w:t xml:space="preserve">Six real questions. Also the block AI assistants will quote, so each answer is written to stand alone.</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NEPRA IT/OT compliance: frequently asked questions</w:t>
            </w:r>
            <w:r>
              <w:rPr>
                <w:rFonts w:ascii="Aptos" w:cs="Aptos" w:eastAsia="Aptos" w:hAnsi="Aptos"/>
                <w:color w:val="8A94A3"/>
                <w:sz w:val="15"/>
                <w:szCs w:val="15"/>
              </w:rPr>
              <w:t xml:space="preserve">   50 ch</w:t>
            </w:r>
          </w:p>
        </w:tc>
      </w:tr>
    </w:tbl>
    <w:p>
      <w:pPr>
        <w:spacing w:after="12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Q1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Who has to comply with NEPRA’s IT/OT security regulations?</w:t>
            </w:r>
            <w:r>
              <w:rPr>
                <w:rFonts w:ascii="Aptos" w:cs="Aptos" w:eastAsia="Aptos" w:hAnsi="Aptos"/>
                <w:color w:val="8A94A3"/>
                <w:sz w:val="15"/>
                <w:szCs w:val="15"/>
              </w:rPr>
              <w:t xml:space="preserve">   58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Every NEPRA licensee in Pakistan’s power sector — generation, transmission and distribution companies. The obligations cover both corporate IT and operational technology, including SCADA, DCS, PLCs and RTUs.</w:t>
            </w:r>
            <w:r>
              <w:rPr>
                <w:rFonts w:ascii="Aptos" w:cs="Aptos" w:eastAsia="Aptos" w:hAnsi="Aptos"/>
                <w:color w:val="8A94A3"/>
                <w:sz w:val="15"/>
                <w:szCs w:val="15"/>
              </w:rPr>
              <w:t xml:space="preserve">   207 ch</w:t>
            </w:r>
          </w:p>
        </w:tc>
      </w:tr>
    </w:tbl>
    <w:p>
      <w:pPr>
        <w:spacing w:after="8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Q2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What are the NEPRA IT/OT regulations?</w:t>
            </w:r>
            <w:r>
              <w:rPr>
                <w:rFonts w:ascii="Aptos" w:cs="Aptos" w:eastAsia="Aptos" w:hAnsi="Aptos"/>
                <w:color w:val="8A94A3"/>
                <w:sz w:val="15"/>
                <w:szCs w:val="15"/>
              </w:rPr>
              <w:t xml:space="preserve">   37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The </w:t>
            </w:r>
            <w:r>
              <w:rPr>
                <w:rFonts w:ascii="Consolas" w:cs="Consolas" w:eastAsia="Consolas" w:hAnsi="Consolas"/>
                <w:b/>
                <w:bCs/>
                <w:color w:val="B45309"/>
                <w:sz w:val="15"/>
                <w:szCs w:val="15"/>
              </w:rPr>
              <w:t xml:space="preserve">〔V1〕</w:t>
            </w:r>
            <w:r>
              <w:rPr>
                <w:rFonts w:ascii="Aptos" w:cs="Aptos" w:eastAsia="Aptos" w:hAnsi="Aptos"/>
                <w:sz w:val="20"/>
                <w:szCs w:val="20"/>
              </w:rPr>
              <w:t xml:space="preserve">Security of Information Technology &amp; Operational Technology Regulations, 2022 set the mandatory cybersecurity framework for NEPRA licensees. They span governance and policy, security controls, risk and vulnerability assessment, data integrity, audit support, monitoring and incident response, training, and regulatory reporting.</w:t>
            </w:r>
            <w:r>
              <w:rPr>
                <w:rFonts w:ascii="Aptos" w:cs="Aptos" w:eastAsia="Aptos" w:hAnsi="Aptos"/>
                <w:color w:val="8A94A3"/>
                <w:sz w:val="15"/>
                <w:szCs w:val="15"/>
              </w:rPr>
              <w:t xml:space="preserve">   332 ch</w:t>
            </w:r>
          </w:p>
        </w:tc>
      </w:tr>
    </w:tbl>
    <w:p>
      <w:pPr>
        <w:spacing w:after="8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Q3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How quickly must a cyber incident be reported to NEPRA?</w:t>
            </w:r>
            <w:r>
              <w:rPr>
                <w:rFonts w:ascii="Aptos" w:cs="Aptos" w:eastAsia="Aptos" w:hAnsi="Aptos"/>
                <w:color w:val="8A94A3"/>
                <w:sz w:val="15"/>
                <w:szCs w:val="15"/>
              </w:rPr>
              <w:t xml:space="preserve">   55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Consolas" w:cs="Consolas" w:eastAsia="Consolas" w:hAnsi="Consolas"/>
                <w:b/>
                <w:bCs/>
                <w:color w:val="B45309"/>
                <w:sz w:val="15"/>
                <w:szCs w:val="15"/>
              </w:rPr>
              <w:t xml:space="preserve">〔V2〕</w:t>
            </w:r>
            <w:r>
              <w:rPr>
                <w:rFonts w:ascii="Aptos" w:cs="Aptos" w:eastAsia="Aptos" w:hAnsi="Aptos"/>
                <w:sz w:val="20"/>
                <w:szCs w:val="20"/>
              </w:rPr>
              <w:t xml:space="preserve">Significant incidents must be reported within 72 hours, in addition to quarterly cybersecurity incident reporting to the Authority. Incidents affecting OT are also reported to the National CERT and PowerCERT.</w:t>
            </w:r>
            <w:r>
              <w:rPr>
                <w:rFonts w:ascii="Aptos" w:cs="Aptos" w:eastAsia="Aptos" w:hAnsi="Aptos"/>
                <w:color w:val="8A94A3"/>
                <w:sz w:val="15"/>
                <w:szCs w:val="15"/>
              </w:rPr>
              <w:t xml:space="preserve">   208 ch</w:t>
            </w:r>
          </w:p>
        </w:tc>
      </w:tr>
    </w:tbl>
    <w:p>
      <w:pPr>
        <w:spacing w:after="8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Q4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Will a compliance audit disrupt plant or SCADA operations?</w:t>
            </w:r>
            <w:r>
              <w:rPr>
                <w:rFonts w:ascii="Aptos" w:cs="Aptos" w:eastAsia="Aptos" w:hAnsi="Aptos"/>
                <w:color w:val="8A94A3"/>
                <w:sz w:val="15"/>
                <w:szCs w:val="15"/>
              </w:rPr>
              <w:t xml:space="preserve">   58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It should not. A properly scoped NEPRA audit assesses OT passively — reviewing configurations, segmentation, access and logs rather than actively scanning live control systems. No plant downtime is required.</w:t>
            </w:r>
            <w:r>
              <w:rPr>
                <w:rFonts w:ascii="Aptos" w:cs="Aptos" w:eastAsia="Aptos" w:hAnsi="Aptos"/>
                <w:color w:val="8A94A3"/>
                <w:sz w:val="15"/>
                <w:szCs w:val="15"/>
              </w:rPr>
              <w:t xml:space="preserve">   207 ch</w:t>
            </w:r>
          </w:p>
          <w:p>
            <w:pPr>
              <w:spacing w:before="70"/>
            </w:pPr>
            <w:r>
              <w:rPr>
                <w:rFonts w:ascii="Aptos" w:cs="Aptos" w:eastAsia="Aptos" w:hAnsi="Aptos"/>
                <w:i/>
                <w:iCs/>
                <w:color w:val="5A6472"/>
                <w:sz w:val="17"/>
                <w:szCs w:val="17"/>
              </w:rPr>
              <w:t xml:space="preserve">This is the plant manager’s first objection. With the process section cut from the page, this answer and the block 03 VAPT card are the only two places it is addressed.</w:t>
            </w:r>
          </w:p>
        </w:tc>
      </w:tr>
    </w:tbl>
    <w:p>
      <w:pPr>
        <w:spacing w:after="8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Q5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How long does a NEPRA IT/OT compliance audit take?</w:t>
            </w:r>
            <w:r>
              <w:rPr>
                <w:rFonts w:ascii="Aptos" w:cs="Aptos" w:eastAsia="Aptos" w:hAnsi="Aptos"/>
                <w:color w:val="8A94A3"/>
                <w:sz w:val="15"/>
                <w:szCs w:val="15"/>
              </w:rPr>
              <w:t xml:space="preserve">   50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Consolas" w:cs="Consolas" w:eastAsia="Consolas" w:hAnsi="Consolas"/>
                <w:b/>
                <w:bCs/>
                <w:color w:val="B45309"/>
                <w:sz w:val="15"/>
                <w:szCs w:val="15"/>
              </w:rPr>
              <w:t xml:space="preserve">〔V5〕</w:t>
            </w:r>
            <w:r>
              <w:rPr>
                <w:rFonts w:ascii="Aptos" w:cs="Aptos" w:eastAsia="Aptos" w:hAnsi="Aptos"/>
                <w:sz w:val="20"/>
                <w:szCs w:val="20"/>
              </w:rPr>
              <w:t xml:space="preserve">For a single-site licensee, roughly three weeks of engagement across scoping, fieldwork, gap analysis and reporting. Multi-site licensees take longer in proportion to the number of plants and the size of the OT estate.</w:t>
            </w:r>
            <w:r>
              <w:rPr>
                <w:rFonts w:ascii="Aptos" w:cs="Aptos" w:eastAsia="Aptos" w:hAnsi="Aptos"/>
                <w:color w:val="8A94A3"/>
                <w:sz w:val="15"/>
                <w:szCs w:val="15"/>
              </w:rPr>
              <w:t xml:space="preserve">   218 ch</w:t>
            </w:r>
          </w:p>
        </w:tc>
      </w:tr>
    </w:tbl>
    <w:p>
      <w:pPr>
        <w:spacing w:after="80"/>
      </w:pPr>
      <w:r>
        <w:rPr>
          <w:rFonts w:ascii="Aptos" w:cs="Aptos" w:eastAsia="Aptos" w:hAnsi="Aptos"/>
          <w:sz w:val="21"/>
          <w:szCs w:val="21"/>
        </w:rPr>
        <w:t xml:space="preserve"/>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Q6 — H3</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What happens if NEPRA directs a technical audit?</w:t>
            </w:r>
            <w:r>
              <w:rPr>
                <w:rFonts w:ascii="Aptos" w:cs="Aptos" w:eastAsia="Aptos" w:hAnsi="Aptos"/>
                <w:color w:val="8A94A3"/>
                <w:sz w:val="15"/>
                <w:szCs w:val="15"/>
              </w:rPr>
              <w:t xml:space="preserve">   48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ANSWER</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Regulation 8 requires licensees to support an Authority-directed technical audit and produce evidence. In practice that means having an organised evidence file — policies, asset inventory, access records, patch and backup logs, incident records — ready before you are asked.</w:t>
            </w:r>
            <w:r>
              <w:rPr>
                <w:rFonts w:ascii="Aptos" w:cs="Aptos" w:eastAsia="Aptos" w:hAnsi="Aptos"/>
                <w:color w:val="8A94A3"/>
                <w:sz w:val="15"/>
                <w:szCs w:val="15"/>
              </w:rPr>
              <w:t xml:space="preserve">   274 ch</w:t>
            </w:r>
          </w:p>
        </w:tc>
      </w:tr>
    </w:tbl>
    <w:p>
      <w:pPr>
        <w:spacing w:after="80"/>
      </w:pPr>
      <w:r>
        <w:rPr>
          <w:rFonts w:ascii="Aptos" w:cs="Aptos" w:eastAsia="Aptos" w:hAnsi="Aptos"/>
          <w:sz w:val="21"/>
          <w:szCs w:val="21"/>
        </w:rPr>
        <w:t xml:space="preserve"/>
      </w:r>
    </w:p>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Each question is an H3, phrased exactly as a user would ask it. Not “Eligibility” — “Who has to comply with NEPRA’s IT/OT security regulations?”</w:t>
      </w:r>
    </w:p>
    <w:p>
      <w:pPr>
        <w:pStyle w:val="ListParagraph"/>
        <w:numPr>
          <w:ilvl w:val="0"/>
          <w:numId w:val="2"/>
        </w:numPr>
        <w:spacing w:after="60" w:line="276"/>
      </w:pPr>
      <w:r>
        <w:rPr>
          <w:rFonts w:ascii="Aptos" w:cs="Aptos" w:eastAsia="Aptos" w:hAnsi="Aptos"/>
          <w:sz w:val="21"/>
          <w:szCs w:val="21"/>
        </w:rPr>
        <w:t xml:space="preserve">Each answer opens with the direct answer, then qualifies. Never “It depends…” first.</w:t>
      </w:r>
    </w:p>
    <w:p>
      <w:pPr>
        <w:pStyle w:val="ListParagraph"/>
        <w:numPr>
          <w:ilvl w:val="0"/>
          <w:numId w:val="2"/>
        </w:numPr>
        <w:spacing w:after="60" w:line="276"/>
      </w:pPr>
      <w:r>
        <w:rPr>
          <w:rFonts w:ascii="Aptos" w:cs="Aptos" w:eastAsia="Aptos" w:hAnsi="Aptos"/>
          <w:b/>
          <w:bCs/>
          <w:sz w:val="21"/>
          <w:szCs w:val="21"/>
        </w:rPr>
        <w:t xml:space="preserve">Accordions are fine as presentation. </w:t>
      </w:r>
      <w:r>
        <w:rPr>
          <w:rFonts w:ascii="Aptos" w:cs="Aptos" w:eastAsia="Aptos" w:hAnsi="Aptos"/>
          <w:sz w:val="21"/>
          <w:szCs w:val="21"/>
        </w:rPr>
        <w:t xml:space="preserve">Content fetched on click is not — every answer must be in the page source at load.</w:t>
      </w:r>
    </w:p>
    <w:p>
      <w:pPr>
        <w:pStyle w:val="ListParagraph"/>
        <w:numPr>
          <w:ilvl w:val="0"/>
          <w:numId w:val="2"/>
        </w:numPr>
        <w:spacing w:after="60" w:line="276"/>
      </w:pPr>
      <w:r>
        <w:rPr>
          <w:rFonts w:ascii="Aptos" w:cs="Aptos" w:eastAsia="Aptos" w:hAnsi="Aptos"/>
          <w:sz w:val="21"/>
          <w:szCs w:val="21"/>
        </w:rPr>
        <w:t xml:space="preserve">FAQPage schema must match the visible text word for word. Mismatched schema is a manual-action risk, not just a wasted opportunity.</w:t>
      </w:r>
    </w:p>
    <w:p>
      <w:pPr>
        <w:pBdr>
          <w:top w:val="single" w:color="1F6FEB" w:sz="14"/>
        </w:pBdr>
        <w:spacing w:after="40" w:before="420"/>
      </w:pPr>
      <w:r>
        <w:rPr>
          <w:rFonts w:ascii="Aptos" w:cs="Aptos" w:eastAsia="Aptos" w:hAnsi="Aptos"/>
          <w:sz w:val="21"/>
          <w:szCs w:val="21"/>
        </w:rPr>
        <w:t xml:space="preserve"/>
      </w:r>
    </w:p>
    <w:p>
      <w:pPr>
        <w:spacing w:after="40"/>
      </w:pPr>
      <w:r>
        <w:rPr>
          <w:rFonts w:ascii="Aptos" w:cs="Aptos" w:eastAsia="Aptos" w:hAnsi="Aptos"/>
          <w:b/>
          <w:bCs/>
          <w:color w:val="1F6FEB"/>
          <w:spacing w:val="30"/>
          <w:sz w:val="17"/>
          <w:szCs w:val="17"/>
        </w:rPr>
        <w:t xml:space="preserve">BLOCK 09</w:t>
      </w:r>
    </w:p>
    <w:p>
      <w:pPr>
        <w:pStyle w:val="Heading2"/>
        <w:spacing w:after="60"/>
      </w:pPr>
      <w:r>
        <w:rPr>
          <w:rFonts w:ascii="Aptos" w:cs="Aptos" w:eastAsia="Aptos" w:hAnsi="Aptos"/>
          <w:b/>
          <w:bCs/>
          <w:color w:val="0A1B3D"/>
          <w:sz w:val="27"/>
          <w:szCs w:val="27"/>
        </w:rPr>
        <w:t xml:space="preserve">Closing CTA</w:t>
      </w:r>
    </w:p>
    <w:p>
      <w:pPr>
        <w:spacing w:after="150"/>
      </w:pPr>
      <w:r>
        <w:rPr>
          <w:rFonts w:ascii="Aptos" w:cs="Aptos" w:eastAsia="Aptos" w:hAnsi="Aptos"/>
          <w:color w:val="5A6472"/>
          <w:sz w:val="20"/>
          <w:szCs w:val="20"/>
        </w:rPr>
        <w:t xml:space="preserve">The page’s conclusion. Uses the flyer’s own tagline and sign-off, so the page and the letter close the same way.</w:t>
      </w:r>
    </w:p>
    <w:p>
      <w:pPr>
        <w:spacing w:after="80" w:before="220"/>
      </w:pPr>
      <w:r>
        <w:rPr>
          <w:rFonts w:ascii="Aptos" w:cs="Aptos" w:eastAsia="Aptos" w:hAnsi="Aptos"/>
          <w:b/>
          <w:bCs/>
          <w:color w:val="5A6472"/>
          <w:spacing w:val="34"/>
          <w:sz w:val="16"/>
          <w:szCs w:val="16"/>
        </w:rPr>
        <w:t xml:space="preserve">COPY</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H2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A1B3D"/>
                <w:sz w:val="23"/>
                <w:szCs w:val="23"/>
              </w:rPr>
              <w:t xml:space="preserve">Secure your assets. Protect the grid.</w:t>
            </w:r>
            <w:r>
              <w:rPr>
                <w:rFonts w:ascii="Aptos" w:cs="Aptos" w:eastAsia="Aptos" w:hAnsi="Aptos"/>
                <w:color w:val="8A94A3"/>
                <w:sz w:val="15"/>
                <w:szCs w:val="15"/>
              </w:rPr>
              <w:t xml:space="preserve">   37 ch</w:t>
            </w:r>
          </w:p>
          <w:p>
            <w:pPr>
              <w:spacing w:before="70"/>
            </w:pPr>
            <w:r>
              <w:rPr>
                <w:rFonts w:ascii="Aptos" w:cs="Aptos" w:eastAsia="Aptos" w:hAnsi="Aptos"/>
                <w:i/>
                <w:iCs/>
                <w:color w:val="5A6472"/>
                <w:sz w:val="17"/>
                <w:szCs w:val="17"/>
              </w:rPr>
              <w:t xml:space="preserve">Verbatim from the printed flyer. Carries no query term and should not be made to — the page has already earned its rankings above. This is the emotional close.</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BODY</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Tell us your licence type and how many sites you run, and we will scope the audit. A first call takes about thirty minutes and costs nothing.</w:t>
            </w:r>
            <w:r>
              <w:rPr>
                <w:rFonts w:ascii="Aptos" w:cs="Aptos" w:eastAsia="Aptos" w:hAnsi="Aptos"/>
                <w:color w:val="8A94A3"/>
                <w:sz w:val="15"/>
                <w:szCs w:val="15"/>
              </w:rPr>
              <w:t xml:space="preserve">   141 ch</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1</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Call +92 21 3586 9200</w:t>
            </w:r>
            <w:r>
              <w:rPr>
                <w:rFonts w:ascii="Aptos" w:cs="Aptos" w:eastAsia="Aptos" w:hAnsi="Aptos"/>
                <w:b/>
                <w:bCs/>
                <w:color w:val="1F6FEB"/>
                <w:sz w:val="20"/>
                <w:szCs w:val="20"/>
              </w:rPr>
              <w:t xml:space="preserve"> ]</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BUTTON 2</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1F6FEB"/>
                <w:sz w:val="20"/>
                <w:szCs w:val="20"/>
              </w:rPr>
              <w:t xml:space="preserve">[ </w:t>
            </w:r>
            <w:r>
              <w:rPr>
                <w:rFonts w:ascii="Aptos" w:cs="Aptos" w:eastAsia="Aptos" w:hAnsi="Aptos"/>
                <w:b/>
                <w:bCs/>
                <w:color w:val="1F6FEB"/>
                <w:sz w:val="20"/>
                <w:szCs w:val="20"/>
              </w:rPr>
              <w:t xml:space="preserve">Email xsecurity@xloopdigital.com</w:t>
            </w:r>
            <w:r>
              <w:rPr>
                <w:rFonts w:ascii="Aptos" w:cs="Aptos" w:eastAsia="Aptos" w:hAnsi="Aptos"/>
                <w:b/>
                <w:bCs/>
                <w:color w:val="1F6FEB"/>
                <w:sz w:val="20"/>
                <w:szCs w:val="20"/>
              </w:rPr>
              <w:t xml:space="preserve"> ]</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SIGN-OFF</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b/>
                <w:bCs/>
                <w:color w:val="0E9A8D"/>
                <w:spacing w:val="24"/>
                <w:sz w:val="18"/>
                <w:szCs w:val="18"/>
              </w:rPr>
              <w:t xml:space="preserve">Compliance. Security. Resilience.</w:t>
            </w:r>
          </w:p>
          <w:p>
            <w:pPr>
              <w:spacing w:before="70"/>
            </w:pPr>
            <w:r>
              <w:rPr>
                <w:rFonts w:ascii="Aptos" w:cs="Aptos" w:eastAsia="Aptos" w:hAnsi="Aptos"/>
                <w:i/>
                <w:iCs/>
                <w:color w:val="5A6472"/>
                <w:sz w:val="17"/>
                <w:szCs w:val="17"/>
              </w:rPr>
              <w:t xml:space="preserve">Verbatim from the flyer footer. Small, letterspaced, centred.</w:t>
            </w:r>
          </w:p>
        </w:tc>
      </w:tr>
    </w:tbl>
    <w:p>
      <w:pPr>
        <w:spacing w:after="80" w:before="220"/>
      </w:pPr>
      <w:r>
        <w:rPr>
          <w:rFonts w:ascii="Aptos" w:cs="Aptos" w:eastAsia="Aptos" w:hAnsi="Aptos"/>
          <w:b/>
          <w:bCs/>
          <w:color w:val="5A6472"/>
          <w:spacing w:val="34"/>
          <w:sz w:val="16"/>
          <w:szCs w:val="16"/>
        </w:rPr>
        <w:t xml:space="preserve">BUILD NOTES</w:t>
      </w:r>
    </w:p>
    <w:p>
      <w:pPr>
        <w:pStyle w:val="ListParagraph"/>
        <w:numPr>
          <w:ilvl w:val="0"/>
          <w:numId w:val="2"/>
        </w:numPr>
        <w:spacing w:after="60" w:line="276"/>
      </w:pPr>
      <w:r>
        <w:rPr>
          <w:rFonts w:ascii="Aptos" w:cs="Aptos" w:eastAsia="Aptos" w:hAnsi="Aptos"/>
          <w:sz w:val="21"/>
          <w:szCs w:val="21"/>
        </w:rPr>
        <w:t xml:space="preserve">Heaviest visual treatment on the page — full-bleed dark panel, or a bordered container in the AI Security band style. It should read as the end of the argument.</w:t>
      </w:r>
    </w:p>
    <w:p>
      <w:r>
        <w:br w:type="page"/>
      </w:r>
    </w:p>
    <w:p>
      <w:pPr>
        <w:pStyle w:val="Heading1"/>
        <w:spacing w:after="140" w:before="340"/>
      </w:pPr>
      <w:r>
        <w:rPr>
          <w:rFonts w:ascii="Aptos" w:cs="Aptos" w:eastAsia="Aptos" w:hAnsi="Aptos"/>
          <w:b/>
          <w:bCs/>
          <w:color w:val="0A1B3D"/>
          <w:sz w:val="32"/>
          <w:szCs w:val="32"/>
        </w:rPr>
        <w:t xml:space="preserve">Metadata</w:t>
      </w:r>
    </w:p>
    <w:tbl>
      <w:tblPr>
        <w:tblW w:type="dxa" w:w="9026"/>
        <w:tblBorders>
          <w:top w:val="single" w:color="1F6FEB" w:sz="8"/>
          <w:left w:val="single" w:color="C9D3E0" w:sz="4"/>
          <w:bottom w:val="single" w:color="1F6FEB" w:sz="8"/>
          <w:right w:val="single" w:color="C9D3E0" w:sz="4"/>
          <w:insideH w:val="single" w:color="DCE3EC" w:sz="2"/>
          <w:insideV w:val="single" w:color="DCE3EC" w:sz="2"/>
        </w:tblBorders>
      </w:tblPr>
      <w:tblGrid>
        <w:gridCol w:w="1700"/>
        <w:gridCol w:w="7326"/>
      </w:tblGrid>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URL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https://www.xloopdigital.com/services/nepra-it-ot-compliance</w:t>
            </w:r>
          </w:p>
          <w:p>
            <w:pPr>
              <w:spacing w:before="70"/>
            </w:pPr>
            <w:r>
              <w:rPr>
                <w:rFonts w:ascii="Aptos" w:cs="Aptos" w:eastAsia="Aptos" w:hAnsi="Aptos"/>
                <w:i/>
                <w:iCs/>
                <w:color w:val="5A6472"/>
                <w:sz w:val="17"/>
                <w:szCs w:val="17"/>
              </w:rPr>
              <w:t xml:space="preserve">Matches the existing /services/ pattern. No date, no year — the page must survive the regulations being amended.</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TITLE TAG</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NEPRA Compliance Audit &amp; IT/OT Services Pakistan | xLoop</w:t>
            </w:r>
            <w:r>
              <w:rPr>
                <w:rFonts w:ascii="Aptos" w:cs="Aptos" w:eastAsia="Aptos" w:hAnsi="Aptos"/>
                <w:color w:val="8A94A3"/>
                <w:sz w:val="15"/>
                <w:szCs w:val="15"/>
              </w:rPr>
              <w:t xml:space="preserve">   56 ch</w:t>
            </w:r>
          </w:p>
          <w:p>
            <w:pPr>
              <w:spacing w:before="70"/>
            </w:pPr>
            <w:r>
              <w:rPr>
                <w:rFonts w:ascii="Aptos" w:cs="Aptos" w:eastAsia="Aptos" w:hAnsi="Aptos"/>
                <w:i/>
                <w:iCs/>
                <w:color w:val="5A6472"/>
                <w:sz w:val="17"/>
                <w:szCs w:val="17"/>
              </w:rPr>
              <w:t xml:space="preserve">Under 60 characters, so it will not truncate. Leads with the commercial term.</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META DESC</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Independent NEPRA IT/OT compliance audits for Pakistan’s power sector — clause-by-clause assessment against Regulations 4–11, VAPT, policy frameworks and training.</w:t>
            </w:r>
            <w:r>
              <w:rPr>
                <w:rFonts w:ascii="Aptos" w:cs="Aptos" w:eastAsia="Aptos" w:hAnsi="Aptos"/>
                <w:color w:val="8A94A3"/>
                <w:sz w:val="15"/>
                <w:szCs w:val="15"/>
              </w:rPr>
              <w:t xml:space="preserve">   163 ch</w:t>
            </w:r>
          </w:p>
          <w:p>
            <w:pPr>
              <w:spacing w:before="70"/>
            </w:pPr>
            <w:r>
              <w:rPr>
                <w:rFonts w:ascii="Aptos" w:cs="Aptos" w:eastAsia="Aptos" w:hAnsi="Aptos"/>
                <w:i/>
                <w:iCs/>
                <w:color w:val="5A6472"/>
                <w:sz w:val="17"/>
                <w:szCs w:val="17"/>
              </w:rPr>
              <w:t xml:space="preserve">Target 150–160 characters. Not a ranking factor, but it is the click decision.</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CANONICAL</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Self-referencing, to the URL above.</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OG:TITLE</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NEPRA IT/OT Regulatory Compliance Services</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OG:DESC</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Audit, VAPT, policy and training for NEPRA licensees under the </w:t>
            </w:r>
            <w:r>
              <w:rPr>
                <w:rFonts w:ascii="Consolas" w:cs="Consolas" w:eastAsia="Consolas" w:hAnsi="Consolas"/>
                <w:b/>
                <w:bCs/>
                <w:color w:val="B45309"/>
                <w:sz w:val="15"/>
                <w:szCs w:val="15"/>
              </w:rPr>
              <w:t xml:space="preserve">〔V1〕</w:t>
            </w:r>
            <w:r>
              <w:rPr>
                <w:rFonts w:ascii="Aptos" w:cs="Aptos" w:eastAsia="Aptos" w:hAnsi="Aptos"/>
                <w:sz w:val="20"/>
                <w:szCs w:val="20"/>
              </w:rPr>
              <w:t xml:space="preserve">Security of IT &amp; OT Regulations, 2022.</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OG:IMAGE</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Purpose-built 1200 × 630. Not the flyer — it is portrait and will crop badly in every share preview.</w:t>
            </w:r>
          </w:p>
        </w:tc>
      </w:tr>
      <w:tr>
        <w:tc>
          <w:tcPr>
            <w:tcW w:type="dxa" w:w="1700"/>
            <w:shd w:fill="F7F9FC" w:color="auto" w:val="clear"/>
            <w:tcMar>
              <w:top w:type="dxa" w:w="120"/>
              <w:left w:type="dxa" w:w="140"/>
              <w:bottom w:type="dxa" w:w="120"/>
              <w:right w:type="dxa" w:w="140"/>
            </w:tcMar>
          </w:tcPr>
          <w:p>
            <w:pPr>
              <w:spacing w:after="0"/>
            </w:pPr>
            <w:r>
              <w:rPr>
                <w:rFonts w:ascii="Aptos" w:cs="Aptos" w:eastAsia="Aptos" w:hAnsi="Aptos"/>
                <w:b/>
                <w:bCs/>
                <w:color w:val="5A6472"/>
                <w:spacing w:val="20"/>
                <w:sz w:val="16"/>
                <w:szCs w:val="16"/>
              </w:rPr>
              <w:t xml:space="preserve">DATE STAMP</w:t>
            </w:r>
          </w:p>
        </w:tc>
        <w:tc>
          <w:tcPr>
            <w:tcW w:type="dxa" w:w="7326"/>
            <w:shd w:fill="FFFFFF" w:color="auto" w:val="clear"/>
            <w:tcMar>
              <w:top w:type="dxa" w:w="120"/>
              <w:left w:type="dxa" w:w="150"/>
              <w:bottom w:type="dxa" w:w="120"/>
              <w:right w:type="dxa" w:w="150"/>
            </w:tcMar>
          </w:tcPr>
          <w:p>
            <w:pPr>
              <w:spacing w:after="0" w:line="266"/>
            </w:pPr>
            <w:r>
              <w:rPr>
                <w:rFonts w:ascii="Aptos" w:cs="Aptos" w:eastAsia="Aptos" w:hAnsi="Aptos"/>
                <w:sz w:val="20"/>
                <w:szCs w:val="20"/>
              </w:rPr>
              <w:t xml:space="preserve">Last reviewed: [month year] — visible on the page, and dateModified in schema.</w:t>
            </w:r>
          </w:p>
          <w:p>
            <w:pPr>
              <w:spacing w:before="70"/>
            </w:pPr>
            <w:r>
              <w:rPr>
                <w:rFonts w:ascii="Aptos" w:cs="Aptos" w:eastAsia="Aptos" w:hAnsi="Aptos"/>
                <w:i/>
                <w:iCs/>
                <w:color w:val="5A6472"/>
                <w:sz w:val="17"/>
                <w:szCs w:val="17"/>
              </w:rPr>
              <w:t xml:space="preserve">Assistants weight recency heavily on regulatory topics, where stale content is actively dangerous. Update it whenever the copy changes.</w:t>
            </w:r>
          </w:p>
        </w:tc>
      </w:tr>
    </w:tbl>
    <w:p>
      <w:pPr>
        <w:pStyle w:val="Heading1"/>
        <w:spacing w:after="140" w:before="340"/>
      </w:pPr>
      <w:r>
        <w:rPr>
          <w:rFonts w:ascii="Aptos" w:cs="Aptos" w:eastAsia="Aptos" w:hAnsi="Aptos"/>
          <w:b/>
          <w:bCs/>
          <w:color w:val="0A1B3D"/>
          <w:sz w:val="32"/>
          <w:szCs w:val="32"/>
        </w:rPr>
        <w:t xml:space="preserve">Structured data</w:t>
      </w:r>
    </w:p>
    <w:p>
      <w:pPr>
        <w:spacing w:after="120" w:line="276"/>
      </w:pPr>
      <w:r>
        <w:rPr>
          <w:rFonts w:ascii="Aptos" w:cs="Aptos" w:eastAsia="Aptos" w:hAnsi="Aptos"/>
          <w:sz w:val="21"/>
          <w:szCs w:val="21"/>
        </w:rPr>
        <w:t xml:space="preserve">Three blocks, in a single JSON-LD script in the head. Only the description strings need to track the final copy.</w:t>
      </w:r>
    </w:p>
    <w:p>
      <w:pPr>
        <w:pStyle w:val="Heading3"/>
        <w:spacing w:after="90" w:before="200"/>
      </w:pPr>
      <w:r>
        <w:rPr>
          <w:rFonts w:ascii="Aptos" w:cs="Aptos" w:eastAsia="Aptos" w:hAnsi="Aptos"/>
          <w:b/>
          <w:bCs/>
          <w:color w:val="1F6FEB"/>
          <w:sz w:val="21"/>
          <w:szCs w:val="21"/>
        </w:rPr>
        <w:t xml:space="preserve">Service</w:t>
      </w:r>
    </w:p>
    <w:tbl>
      <w:tblPr>
        <w:tblW w:type="dxa" w:w="9026"/>
        <w:tblBorders>
          <w:top w:val="single" w:color="0F1B2E" w:sz="2"/>
          <w:left w:val="single" w:color="0F1B2E" w:sz="2"/>
          <w:bottom w:val="single" w:color="0F1B2E" w:sz="2"/>
          <w:right w:val="single" w:color="0F1B2E" w:sz="2"/>
          <w:insideH w:val="none" w:color="0F1B2E" w:sz="0"/>
          <w:insideV w:val="none" w:color="0F1B2E" w:sz="0"/>
        </w:tblBorders>
      </w:tblPr>
      <w:tblGrid>
        <w:gridCol w:w="9026"/>
      </w:tblGrid>
      <w:tr>
        <w:tc>
          <w:tcPr>
            <w:tcW w:type="dxa" w:w="9026"/>
            <w:shd w:fill="0F1B2E" w:color="auto" w:val="clear"/>
            <w:tcMar>
              <w:top w:type="dxa" w:w="150"/>
              <w:left w:type="dxa" w:w="190"/>
              <w:bottom w:type="dxa" w:w="150"/>
              <w:right w:type="dxa" w:w="150"/>
            </w:tcMar>
          </w:tcPr>
          <w:p>
            <w:pPr>
              <w:spacing w:after="0" w:line="240"/>
            </w:pPr>
            <w:r>
              <w:rPr>
                <w:rFonts w:ascii="Consolas" w:cs="Consolas" w:eastAsia="Consolas" w:hAnsi="Consolas"/>
                <w:color w:val="D6E4F7"/>
                <w:sz w:val="17"/>
                <w:szCs w:val="17"/>
              </w:rPr>
              <w:t xml:space="preserve">{</w:t>
            </w:r>
          </w:p>
          <w:p>
            <w:pPr>
              <w:spacing w:after="0" w:line="240"/>
            </w:pPr>
            <w:r>
              <w:rPr>
                <w:rFonts w:ascii="Consolas" w:cs="Consolas" w:eastAsia="Consolas" w:hAnsi="Consolas"/>
                <w:color w:val="D6E4F7"/>
                <w:sz w:val="17"/>
                <w:szCs w:val="17"/>
              </w:rPr>
              <w:t xml:space="preserve">  "@context": "https://schema.org",</w:t>
            </w:r>
          </w:p>
          <w:p>
            <w:pPr>
              <w:spacing w:after="0" w:line="240"/>
            </w:pPr>
            <w:r>
              <w:rPr>
                <w:rFonts w:ascii="Consolas" w:cs="Consolas" w:eastAsia="Consolas" w:hAnsi="Consolas"/>
                <w:color w:val="D6E4F7"/>
                <w:sz w:val="17"/>
                <w:szCs w:val="17"/>
              </w:rPr>
              <w:t xml:space="preserve">  "@type": "Service",</w:t>
            </w:r>
          </w:p>
          <w:p>
            <w:pPr>
              <w:spacing w:after="0" w:line="240"/>
            </w:pPr>
            <w:r>
              <w:rPr>
                <w:rFonts w:ascii="Consolas" w:cs="Consolas" w:eastAsia="Consolas" w:hAnsi="Consolas"/>
                <w:color w:val="D6E4F7"/>
                <w:sz w:val="17"/>
                <w:szCs w:val="17"/>
              </w:rPr>
              <w:t xml:space="preserve">  "@id": "https://www.xloopdigital.com/services/nepra-it-ot-compliance#service",</w:t>
            </w:r>
          </w:p>
          <w:p>
            <w:pPr>
              <w:spacing w:after="0" w:line="240"/>
            </w:pPr>
            <w:r>
              <w:rPr>
                <w:rFonts w:ascii="Consolas" w:cs="Consolas" w:eastAsia="Consolas" w:hAnsi="Consolas"/>
                <w:color w:val="D6E4F7"/>
                <w:sz w:val="17"/>
                <w:szCs w:val="17"/>
              </w:rPr>
              <w:t xml:space="preserve">  "name": "NEPRA IT/OT Regulatory Compliance Services",</w:t>
            </w:r>
          </w:p>
          <w:p>
            <w:pPr>
              <w:spacing w:after="0" w:line="240"/>
            </w:pPr>
            <w:r>
              <w:rPr>
                <w:rFonts w:ascii="Consolas" w:cs="Consolas" w:eastAsia="Consolas" w:hAnsi="Consolas"/>
                <w:color w:val="D6E4F7"/>
                <w:sz w:val="17"/>
                <w:szCs w:val="17"/>
              </w:rPr>
              <w:t xml:space="preserve">  "serviceType": "Regulatory compliance audit",</w:t>
            </w:r>
          </w:p>
          <w:p>
            <w:pPr>
              <w:spacing w:after="0" w:line="240"/>
            </w:pPr>
            <w:r>
              <w:rPr>
                <w:rFonts w:ascii="Consolas" w:cs="Consolas" w:eastAsia="Consolas" w:hAnsi="Consolas"/>
                <w:color w:val="D6E4F7"/>
                <w:sz w:val="17"/>
                <w:szCs w:val="17"/>
              </w:rPr>
              <w:t xml:space="preserve">  "description": "Independent NEPRA IT/OT compliance audits for Pakistan's power</w:t>
            </w:r>
          </w:p>
          <w:p>
            <w:pPr>
              <w:spacing w:after="0" w:line="240"/>
            </w:pPr>
            <w:r>
              <w:rPr>
                <w:rFonts w:ascii="Consolas" w:cs="Consolas" w:eastAsia="Consolas" w:hAnsi="Consolas"/>
                <w:color w:val="D6E4F7"/>
                <w:sz w:val="17"/>
                <w:szCs w:val="17"/>
              </w:rPr>
              <w:t xml:space="preserve">                  sector, covering Regulations 4 to 11.",</w:t>
            </w:r>
          </w:p>
          <w:p>
            <w:pPr>
              <w:spacing w:after="0" w:line="240"/>
            </w:pPr>
            <w:r>
              <w:rPr>
                <w:rFonts w:ascii="Consolas" w:cs="Consolas" w:eastAsia="Consolas" w:hAnsi="Consolas"/>
                <w:color w:val="D6E4F7"/>
                <w:sz w:val="17"/>
                <w:szCs w:val="17"/>
              </w:rPr>
              <w:t xml:space="preserve">  "provider": {</w:t>
            </w:r>
          </w:p>
          <w:p>
            <w:pPr>
              <w:spacing w:after="0" w:line="240"/>
            </w:pPr>
            <w:r>
              <w:rPr>
                <w:rFonts w:ascii="Consolas" w:cs="Consolas" w:eastAsia="Consolas" w:hAnsi="Consolas"/>
                <w:color w:val="D6E4F7"/>
                <w:sz w:val="17"/>
                <w:szCs w:val="17"/>
              </w:rPr>
              <w:t xml:space="preserve">    "@type": "Organization",</w:t>
            </w:r>
          </w:p>
          <w:p>
            <w:pPr>
              <w:spacing w:after="0" w:line="240"/>
            </w:pPr>
            <w:r>
              <w:rPr>
                <w:rFonts w:ascii="Consolas" w:cs="Consolas" w:eastAsia="Consolas" w:hAnsi="Consolas"/>
                <w:color w:val="D6E4F7"/>
                <w:sz w:val="17"/>
                <w:szCs w:val="17"/>
              </w:rPr>
              <w:t xml:space="preserve">    "name": "xLoop Digital Services",</w:t>
            </w:r>
          </w:p>
          <w:p>
            <w:pPr>
              <w:spacing w:after="0" w:line="240"/>
            </w:pPr>
            <w:r>
              <w:rPr>
                <w:rFonts w:ascii="Consolas" w:cs="Consolas" w:eastAsia="Consolas" w:hAnsi="Consolas"/>
                <w:color w:val="D6E4F7"/>
                <w:sz w:val="17"/>
                <w:szCs w:val="17"/>
              </w:rPr>
              <w:t xml:space="preserve">    "url": "https://www.xloopdigital.com/",</w:t>
            </w:r>
          </w:p>
          <w:p>
            <w:pPr>
              <w:spacing w:after="0" w:line="240"/>
            </w:pPr>
            <w:r>
              <w:rPr>
                <w:rFonts w:ascii="Consolas" w:cs="Consolas" w:eastAsia="Consolas" w:hAnsi="Consolas"/>
                <w:color w:val="D6E4F7"/>
                <w:sz w:val="17"/>
                <w:szCs w:val="17"/>
              </w:rPr>
              <w:t xml:space="preserve">    "telephone": "+92-21-3586-9200",</w:t>
            </w:r>
          </w:p>
          <w:p>
            <w:pPr>
              <w:spacing w:after="0" w:line="240"/>
            </w:pPr>
            <w:r>
              <w:rPr>
                <w:rFonts w:ascii="Consolas" w:cs="Consolas" w:eastAsia="Consolas" w:hAnsi="Consolas"/>
                <w:color w:val="D6E4F7"/>
                <w:sz w:val="17"/>
                <w:szCs w:val="17"/>
              </w:rPr>
              <w:t xml:space="preserve">    "email": "xsecurity@xloopdigital.com"</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"areaServed": { "@type": "Country", "name": "Pakistan" },</w:t>
            </w:r>
          </w:p>
          <w:p>
            <w:pPr>
              <w:spacing w:after="0" w:line="240"/>
            </w:pPr>
            <w:r>
              <w:rPr>
                <w:rFonts w:ascii="Consolas" w:cs="Consolas" w:eastAsia="Consolas" w:hAnsi="Consolas"/>
                <w:color w:val="D6E4F7"/>
                <w:sz w:val="17"/>
                <w:szCs w:val="17"/>
              </w:rPr>
              <w:t xml:space="preserve">  "audience": {</w:t>
            </w:r>
          </w:p>
          <w:p>
            <w:pPr>
              <w:spacing w:after="0" w:line="240"/>
            </w:pPr>
            <w:r>
              <w:rPr>
                <w:rFonts w:ascii="Consolas" w:cs="Consolas" w:eastAsia="Consolas" w:hAnsi="Consolas"/>
                <w:color w:val="D6E4F7"/>
                <w:sz w:val="17"/>
                <w:szCs w:val="17"/>
              </w:rPr>
              <w:t xml:space="preserve">    "@type": "Audience",</w:t>
            </w:r>
          </w:p>
          <w:p>
            <w:pPr>
              <w:spacing w:after="0" w:line="240"/>
            </w:pPr>
            <w:r>
              <w:rPr>
                <w:rFonts w:ascii="Consolas" w:cs="Consolas" w:eastAsia="Consolas" w:hAnsi="Consolas"/>
                <w:color w:val="D6E4F7"/>
                <w:sz w:val="17"/>
                <w:szCs w:val="17"/>
              </w:rPr>
              <w:t xml:space="preserve">    "audienceType": "NEPRA-licensed power generation, transmission and</w:t>
            </w:r>
          </w:p>
          <w:p>
            <w:pPr>
              <w:spacing w:after="0" w:line="240"/>
            </w:pPr>
            <w:r>
              <w:rPr>
                <w:rFonts w:ascii="Consolas" w:cs="Consolas" w:eastAsia="Consolas" w:hAnsi="Consolas"/>
                <w:color w:val="D6E4F7"/>
                <w:sz w:val="17"/>
                <w:szCs w:val="17"/>
              </w:rPr>
              <w:t xml:space="preserve">                     distribution companies"</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"hasOfferCatalog": {</w:t>
            </w:r>
          </w:p>
          <w:p>
            <w:pPr>
              <w:spacing w:after="0" w:line="240"/>
            </w:pPr>
            <w:r>
              <w:rPr>
                <w:rFonts w:ascii="Consolas" w:cs="Consolas" w:eastAsia="Consolas" w:hAnsi="Consolas"/>
                <w:color w:val="D6E4F7"/>
                <w:sz w:val="17"/>
                <w:szCs w:val="17"/>
              </w:rPr>
              <w:t xml:space="preserve">    "@type": "OfferCatalog",</w:t>
            </w:r>
          </w:p>
          <w:p>
            <w:pPr>
              <w:spacing w:after="0" w:line="240"/>
            </w:pPr>
            <w:r>
              <w:rPr>
                <w:rFonts w:ascii="Consolas" w:cs="Consolas" w:eastAsia="Consolas" w:hAnsi="Consolas"/>
                <w:color w:val="D6E4F7"/>
                <w:sz w:val="17"/>
                <w:szCs w:val="17"/>
              </w:rPr>
              <w:t xml:space="preserve">    "name": "NEPRA compliance bundle",</w:t>
            </w:r>
          </w:p>
          <w:p>
            <w:pPr>
              <w:spacing w:after="0" w:line="240"/>
            </w:pPr>
            <w:r>
              <w:rPr>
                <w:rFonts w:ascii="Consolas" w:cs="Consolas" w:eastAsia="Consolas" w:hAnsi="Consolas"/>
                <w:color w:val="D6E4F7"/>
                <w:sz w:val="17"/>
                <w:szCs w:val="17"/>
              </w:rPr>
              <w:t xml:space="preserve">    "itemListElement": [</w:t>
            </w:r>
          </w:p>
          <w:p>
            <w:pPr>
              <w:spacing w:after="0" w:line="240"/>
            </w:pPr>
            <w:r>
              <w:rPr>
                <w:rFonts w:ascii="Consolas" w:cs="Consolas" w:eastAsia="Consolas" w:hAnsi="Consolas"/>
                <w:color w:val="D6E4F7"/>
                <w:sz w:val="17"/>
                <w:szCs w:val="17"/>
              </w:rPr>
              <w:t xml:space="preserve">      { "@type": "Offer", "itemOffered": { "@type": "Service",</w:t>
            </w:r>
          </w:p>
          <w:p>
            <w:pPr>
              <w:spacing w:after="0" w:line="240"/>
            </w:pPr>
            <w:r>
              <w:rPr>
                <w:rFonts w:ascii="Consolas" w:cs="Consolas" w:eastAsia="Consolas" w:hAnsi="Consolas"/>
                <w:color w:val="D6E4F7"/>
                <w:sz w:val="17"/>
                <w:szCs w:val="17"/>
              </w:rPr>
              <w:t xml:space="preserve">        "name": "NEPRA Compliance Audit (Regulations 4-11)" } },</w:t>
            </w:r>
          </w:p>
          <w:p>
            <w:pPr>
              <w:spacing w:after="0" w:line="240"/>
            </w:pPr>
            <w:r>
              <w:rPr>
                <w:rFonts w:ascii="Consolas" w:cs="Consolas" w:eastAsia="Consolas" w:hAnsi="Consolas"/>
                <w:color w:val="D6E4F7"/>
                <w:sz w:val="17"/>
                <w:szCs w:val="17"/>
              </w:rPr>
              <w:t xml:space="preserve">      { "@type": "Offer", "itemOffered": { "@type": "Service",</w:t>
            </w:r>
          </w:p>
          <w:p>
            <w:pPr>
              <w:spacing w:after="0" w:line="240"/>
            </w:pPr>
            <w:r>
              <w:rPr>
                <w:rFonts w:ascii="Consolas" w:cs="Consolas" w:eastAsia="Consolas" w:hAnsi="Consolas"/>
                <w:color w:val="D6E4F7"/>
                <w:sz w:val="17"/>
                <w:szCs w:val="17"/>
              </w:rPr>
              <w:t xml:space="preserve">        "name": "IT &amp; OT VAPT Services (Regulation 6)" } },</w:t>
            </w:r>
          </w:p>
          <w:p>
            <w:pPr>
              <w:spacing w:after="0" w:line="240"/>
            </w:pPr>
            <w:r>
              <w:rPr>
                <w:rFonts w:ascii="Consolas" w:cs="Consolas" w:eastAsia="Consolas" w:hAnsi="Consolas"/>
                <w:color w:val="D6E4F7"/>
                <w:sz w:val="17"/>
                <w:szCs w:val="17"/>
              </w:rPr>
              <w:t xml:space="preserve">      { "@type": "Offer", "itemOffered": { "@type": "Service",</w:t>
            </w:r>
          </w:p>
          <w:p>
            <w:pPr>
              <w:spacing w:after="0" w:line="240"/>
            </w:pPr>
            <w:r>
              <w:rPr>
                <w:rFonts w:ascii="Consolas" w:cs="Consolas" w:eastAsia="Consolas" w:hAnsi="Consolas"/>
                <w:color w:val="D6E4F7"/>
                <w:sz w:val="17"/>
                <w:szCs w:val="17"/>
              </w:rPr>
              <w:t xml:space="preserve">        "name": "Security Policy Framework (Regulation 4)" } },</w:t>
            </w:r>
          </w:p>
          <w:p>
            <w:pPr>
              <w:spacing w:after="0" w:line="240"/>
            </w:pPr>
            <w:r>
              <w:rPr>
                <w:rFonts w:ascii="Consolas" w:cs="Consolas" w:eastAsia="Consolas" w:hAnsi="Consolas"/>
                <w:color w:val="D6E4F7"/>
                <w:sz w:val="17"/>
                <w:szCs w:val="17"/>
              </w:rPr>
              <w:t xml:space="preserve">      { "@type": "Offer", "itemOffered": { "@type": "Service",</w:t>
            </w:r>
          </w:p>
          <w:p>
            <w:pPr>
              <w:spacing w:after="0" w:line="240"/>
            </w:pPr>
            <w:r>
              <w:rPr>
                <w:rFonts w:ascii="Consolas" w:cs="Consolas" w:eastAsia="Consolas" w:hAnsi="Consolas"/>
                <w:color w:val="D6E4F7"/>
                <w:sz w:val="17"/>
                <w:szCs w:val="17"/>
              </w:rPr>
              <w:t xml:space="preserve">        "name": "Cybersecurity Awareness &amp; Training (Regulation 10)" }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w:t>
            </w:r>
          </w:p>
        </w:tc>
      </w:tr>
    </w:tbl>
    <w:p>
      <w:pPr>
        <w:spacing w:after="120"/>
      </w:pPr>
      <w:r>
        <w:rPr>
          <w:rFonts w:ascii="Aptos" w:cs="Aptos" w:eastAsia="Aptos" w:hAnsi="Aptos"/>
          <w:sz w:val="21"/>
          <w:szCs w:val="21"/>
        </w:rPr>
        <w:t xml:space="preserve"/>
      </w:r>
    </w:p>
    <w:tbl>
      <w:tblPr>
        <w:tblW w:type="dxa" w:w="9026"/>
        <w:tblBorders>
          <w:top w:val="single" w:color="FFF4E5" w:sz="2"/>
          <w:left w:val="single" w:color="F59E0B" w:sz="16"/>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50"/>
              <w:left w:type="dxa" w:w="210"/>
              <w:bottom w:type="dxa" w:w="150"/>
              <w:right w:type="dxa" w:w="210"/>
            </w:tcMar>
          </w:tcPr>
          <w:p>
            <w:r>
              <w:rPr>
                <w:rFonts w:ascii="Aptos" w:cs="Aptos" w:eastAsia="Aptos" w:hAnsi="Aptos"/>
                <w:b/>
                <w:bCs/>
                <w:color w:val="B45309"/>
                <w:sz w:val="16"/>
                <w:szCs w:val="16"/>
              </w:rPr>
              <w:t xml:space="preserve">AVOID A DUPLICATE ORGANIZATION NODE  </w:t>
            </w:r>
            <w:r>
              <w:rPr>
                <w:rFonts w:ascii="Aptos" w:cs="Aptos" w:eastAsia="Aptos" w:hAnsi="Aptos"/>
                <w:sz w:val="20"/>
                <w:szCs w:val="20"/>
              </w:rPr>
              <w:t xml:space="preserve">If the site already emits Organization schema sitewide, do not repeat it. Reference it instead: "provider": { "@id": "https://www.xloopdigital.com/#organization" }.</w:t>
            </w:r>
          </w:p>
        </w:tc>
      </w:tr>
    </w:tbl>
    <w:p>
      <w:pPr>
        <w:pStyle w:val="Heading3"/>
        <w:spacing w:after="90" w:before="200"/>
      </w:pPr>
      <w:r>
        <w:rPr>
          <w:rFonts w:ascii="Aptos" w:cs="Aptos" w:eastAsia="Aptos" w:hAnsi="Aptos"/>
          <w:b/>
          <w:bCs/>
          <w:color w:val="1F6FEB"/>
          <w:sz w:val="21"/>
          <w:szCs w:val="21"/>
        </w:rPr>
        <w:t xml:space="preserve">FAQPage</w:t>
      </w:r>
    </w:p>
    <w:p>
      <w:pPr>
        <w:spacing w:after="120" w:line="276"/>
      </w:pPr>
      <w:r>
        <w:rPr>
          <w:rFonts w:ascii="Aptos" w:cs="Aptos" w:eastAsia="Aptos" w:hAnsi="Aptos"/>
          <w:sz w:val="21"/>
          <w:szCs w:val="21"/>
        </w:rPr>
        <w:t xml:space="preserve">Six entries, matching the block 08 text word for word.</w:t>
      </w:r>
    </w:p>
    <w:tbl>
      <w:tblPr>
        <w:tblW w:type="dxa" w:w="9026"/>
        <w:tblBorders>
          <w:top w:val="single" w:color="0F1B2E" w:sz="2"/>
          <w:left w:val="single" w:color="0F1B2E" w:sz="2"/>
          <w:bottom w:val="single" w:color="0F1B2E" w:sz="2"/>
          <w:right w:val="single" w:color="0F1B2E" w:sz="2"/>
          <w:insideH w:val="none" w:color="0F1B2E" w:sz="0"/>
          <w:insideV w:val="none" w:color="0F1B2E" w:sz="0"/>
        </w:tblBorders>
      </w:tblPr>
      <w:tblGrid>
        <w:gridCol w:w="9026"/>
      </w:tblGrid>
      <w:tr>
        <w:tc>
          <w:tcPr>
            <w:tcW w:type="dxa" w:w="9026"/>
            <w:shd w:fill="0F1B2E" w:color="auto" w:val="clear"/>
            <w:tcMar>
              <w:top w:type="dxa" w:w="150"/>
              <w:left w:type="dxa" w:w="190"/>
              <w:bottom w:type="dxa" w:w="150"/>
              <w:right w:type="dxa" w:w="150"/>
            </w:tcMar>
          </w:tcPr>
          <w:p>
            <w:pPr>
              <w:spacing w:after="0" w:line="240"/>
            </w:pPr>
            <w:r>
              <w:rPr>
                <w:rFonts w:ascii="Consolas" w:cs="Consolas" w:eastAsia="Consolas" w:hAnsi="Consolas"/>
                <w:color w:val="D6E4F7"/>
                <w:sz w:val="17"/>
                <w:szCs w:val="17"/>
              </w:rPr>
              <w:t xml:space="preserve">{</w:t>
            </w:r>
          </w:p>
          <w:p>
            <w:pPr>
              <w:spacing w:after="0" w:line="240"/>
            </w:pPr>
            <w:r>
              <w:rPr>
                <w:rFonts w:ascii="Consolas" w:cs="Consolas" w:eastAsia="Consolas" w:hAnsi="Consolas"/>
                <w:color w:val="D6E4F7"/>
                <w:sz w:val="17"/>
                <w:szCs w:val="17"/>
              </w:rPr>
              <w:t xml:space="preserve">  "@context": "https://schema.org",</w:t>
            </w:r>
          </w:p>
          <w:p>
            <w:pPr>
              <w:spacing w:after="0" w:line="240"/>
            </w:pPr>
            <w:r>
              <w:rPr>
                <w:rFonts w:ascii="Consolas" w:cs="Consolas" w:eastAsia="Consolas" w:hAnsi="Consolas"/>
                <w:color w:val="D6E4F7"/>
                <w:sz w:val="17"/>
                <w:szCs w:val="17"/>
              </w:rPr>
              <w:t xml:space="preserve">  "@type": "FAQPage",</w:t>
            </w:r>
          </w:p>
          <w:p>
            <w:pPr>
              <w:spacing w:after="0" w:line="240"/>
            </w:pPr>
            <w:r>
              <w:rPr>
                <w:rFonts w:ascii="Consolas" w:cs="Consolas" w:eastAsia="Consolas" w:hAnsi="Consolas"/>
                <w:color w:val="D6E4F7"/>
                <w:sz w:val="17"/>
                <w:szCs w:val="17"/>
              </w:rPr>
              <w:t xml:space="preserve">  "mainEntity":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"@type": "Question",</w:t>
            </w:r>
          </w:p>
          <w:p>
            <w:pPr>
              <w:spacing w:after="0" w:line="240"/>
            </w:pPr>
            <w:r>
              <w:rPr>
                <w:rFonts w:ascii="Consolas" w:cs="Consolas" w:eastAsia="Consolas" w:hAnsi="Consolas"/>
                <w:color w:val="D6E4F7"/>
                <w:sz w:val="17"/>
                <w:szCs w:val="17"/>
              </w:rPr>
              <w:t xml:space="preserve">      "name": "Who has to comply with NEPRA's IT/OT security regulations?",</w:t>
            </w:r>
          </w:p>
          <w:p>
            <w:pPr>
              <w:spacing w:after="0" w:line="240"/>
            </w:pPr>
            <w:r>
              <w:rPr>
                <w:rFonts w:ascii="Consolas" w:cs="Consolas" w:eastAsia="Consolas" w:hAnsi="Consolas"/>
                <w:color w:val="D6E4F7"/>
                <w:sz w:val="17"/>
                <w:szCs w:val="17"/>
              </w:rPr>
              <w:t xml:space="preserve">      "acceptedAnswer": {</w:t>
            </w:r>
          </w:p>
          <w:p>
            <w:pPr>
              <w:spacing w:after="0" w:line="240"/>
            </w:pPr>
            <w:r>
              <w:rPr>
                <w:rFonts w:ascii="Consolas" w:cs="Consolas" w:eastAsia="Consolas" w:hAnsi="Consolas"/>
                <w:color w:val="D6E4F7"/>
                <w:sz w:val="17"/>
                <w:szCs w:val="17"/>
              </w:rPr>
              <w:t xml:space="preserve">        "@type": "Answer",</w:t>
            </w:r>
          </w:p>
          <w:p>
            <w:pPr>
              <w:spacing w:after="0" w:line="240"/>
            </w:pPr>
            <w:r>
              <w:rPr>
                <w:rFonts w:ascii="Consolas" w:cs="Consolas" w:eastAsia="Consolas" w:hAnsi="Consolas"/>
                <w:color w:val="D6E4F7"/>
                <w:sz w:val="17"/>
                <w:szCs w:val="17"/>
              </w:rPr>
              <w:t xml:space="preserve">        "text": "Every NEPRA licensee in Pakistan's power sector - generation,</w:t>
            </w:r>
          </w:p>
          <w:p>
            <w:pPr>
              <w:spacing w:after="0" w:line="240"/>
            </w:pPr>
            <w:r>
              <w:rPr>
                <w:rFonts w:ascii="Consolas" w:cs="Consolas" w:eastAsia="Consolas" w:hAnsi="Consolas"/>
                <w:color w:val="D6E4F7"/>
                <w:sz w:val="17"/>
                <w:szCs w:val="17"/>
              </w:rPr>
              <w:t xml:space="preserve">                 transmission and distribution companies. The obligations cover</w:t>
            </w:r>
          </w:p>
          <w:p>
            <w:pPr>
              <w:spacing w:after="0" w:line="240"/>
            </w:pPr>
            <w:r>
              <w:rPr>
                <w:rFonts w:ascii="Consolas" w:cs="Consolas" w:eastAsia="Consolas" w:hAnsi="Consolas"/>
                <w:color w:val="D6E4F7"/>
                <w:sz w:val="17"/>
                <w:szCs w:val="17"/>
              </w:rPr>
              <w:t xml:space="preserve">                 both corporate IT and operational technology, including SCADA,</w:t>
            </w:r>
          </w:p>
          <w:p>
            <w:pPr>
              <w:spacing w:after="0" w:line="240"/>
            </w:pPr>
            <w:r>
              <w:rPr>
                <w:rFonts w:ascii="Consolas" w:cs="Consolas" w:eastAsia="Consolas" w:hAnsi="Consolas"/>
                <w:color w:val="D6E4F7"/>
                <w:sz w:val="17"/>
                <w:szCs w:val="17"/>
              </w:rPr>
              <w:t xml:space="preserve">                 DCS, PLCs and RTUs."</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    /* … repeat for the remaining five questions …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w:t>
            </w:r>
          </w:p>
        </w:tc>
      </w:tr>
    </w:tbl>
    <w:p>
      <w:pPr>
        <w:pStyle w:val="Heading3"/>
        <w:spacing w:after="90" w:before="200"/>
      </w:pPr>
      <w:r>
        <w:rPr>
          <w:rFonts w:ascii="Aptos" w:cs="Aptos" w:eastAsia="Aptos" w:hAnsi="Aptos"/>
          <w:b/>
          <w:bCs/>
          <w:color w:val="1F6FEB"/>
          <w:sz w:val="21"/>
          <w:szCs w:val="21"/>
        </w:rPr>
        <w:t xml:space="preserve">BreadcrumbList</w:t>
      </w:r>
    </w:p>
    <w:tbl>
      <w:tblPr>
        <w:tblW w:type="dxa" w:w="9026"/>
        <w:tblBorders>
          <w:top w:val="single" w:color="0F1B2E" w:sz="2"/>
          <w:left w:val="single" w:color="0F1B2E" w:sz="2"/>
          <w:bottom w:val="single" w:color="0F1B2E" w:sz="2"/>
          <w:right w:val="single" w:color="0F1B2E" w:sz="2"/>
          <w:insideH w:val="none" w:color="0F1B2E" w:sz="0"/>
          <w:insideV w:val="none" w:color="0F1B2E" w:sz="0"/>
        </w:tblBorders>
      </w:tblPr>
      <w:tblGrid>
        <w:gridCol w:w="9026"/>
      </w:tblGrid>
      <w:tr>
        <w:tc>
          <w:tcPr>
            <w:tcW w:type="dxa" w:w="9026"/>
            <w:shd w:fill="0F1B2E" w:color="auto" w:val="clear"/>
            <w:tcMar>
              <w:top w:type="dxa" w:w="150"/>
              <w:left w:type="dxa" w:w="190"/>
              <w:bottom w:type="dxa" w:w="150"/>
              <w:right w:type="dxa" w:w="150"/>
            </w:tcMar>
          </w:tcPr>
          <w:p>
            <w:pPr>
              <w:spacing w:after="0" w:line="240"/>
            </w:pPr>
            <w:r>
              <w:rPr>
                <w:rFonts w:ascii="Consolas" w:cs="Consolas" w:eastAsia="Consolas" w:hAnsi="Consolas"/>
                <w:color w:val="D6E4F7"/>
                <w:sz w:val="17"/>
                <w:szCs w:val="17"/>
              </w:rPr>
              <w:t xml:space="preserve">{</w:t>
            </w:r>
          </w:p>
          <w:p>
            <w:pPr>
              <w:spacing w:after="0" w:line="240"/>
            </w:pPr>
            <w:r>
              <w:rPr>
                <w:rFonts w:ascii="Consolas" w:cs="Consolas" w:eastAsia="Consolas" w:hAnsi="Consolas"/>
                <w:color w:val="D6E4F7"/>
                <w:sz w:val="17"/>
                <w:szCs w:val="17"/>
              </w:rPr>
              <w:t xml:space="preserve">  "@context": "https://schema.org",</w:t>
            </w:r>
          </w:p>
          <w:p>
            <w:pPr>
              <w:spacing w:after="0" w:line="240"/>
            </w:pPr>
            <w:r>
              <w:rPr>
                <w:rFonts w:ascii="Consolas" w:cs="Consolas" w:eastAsia="Consolas" w:hAnsi="Consolas"/>
                <w:color w:val="D6E4F7"/>
                <w:sz w:val="17"/>
                <w:szCs w:val="17"/>
              </w:rPr>
              <w:t xml:space="preserve">  "@type": "BreadcrumbList",</w:t>
            </w:r>
          </w:p>
          <w:p>
            <w:pPr>
              <w:spacing w:after="0" w:line="240"/>
            </w:pPr>
            <w:r>
              <w:rPr>
                <w:rFonts w:ascii="Consolas" w:cs="Consolas" w:eastAsia="Consolas" w:hAnsi="Consolas"/>
                <w:color w:val="D6E4F7"/>
                <w:sz w:val="17"/>
                <w:szCs w:val="17"/>
              </w:rPr>
              <w:t xml:space="preserve">  "itemListElement": [</w:t>
            </w:r>
          </w:p>
          <w:p>
            <w:pPr>
              <w:spacing w:after="0" w:line="240"/>
            </w:pPr>
            <w:r>
              <w:rPr>
                <w:rFonts w:ascii="Consolas" w:cs="Consolas" w:eastAsia="Consolas" w:hAnsi="Consolas"/>
                <w:color w:val="D6E4F7"/>
                <w:sz w:val="17"/>
                <w:szCs w:val="17"/>
              </w:rPr>
              <w:t xml:space="preserve">    { "@type": "ListItem", "position": 1, "name": "Home",</w:t>
            </w:r>
          </w:p>
          <w:p>
            <w:pPr>
              <w:spacing w:after="0" w:line="240"/>
            </w:pPr>
            <w:r>
              <w:rPr>
                <w:rFonts w:ascii="Consolas" w:cs="Consolas" w:eastAsia="Consolas" w:hAnsi="Consolas"/>
                <w:color w:val="D6E4F7"/>
                <w:sz w:val="17"/>
                <w:szCs w:val="17"/>
              </w:rPr>
              <w:t xml:space="preserve">      "item": "https://www.xloopdigital.com/" },</w:t>
            </w:r>
          </w:p>
          <w:p>
            <w:pPr>
              <w:spacing w:after="0" w:line="240"/>
            </w:pPr>
            <w:r>
              <w:rPr>
                <w:rFonts w:ascii="Consolas" w:cs="Consolas" w:eastAsia="Consolas" w:hAnsi="Consolas"/>
                <w:color w:val="D6E4F7"/>
                <w:sz w:val="17"/>
                <w:szCs w:val="17"/>
              </w:rPr>
              <w:t xml:space="preserve">    { "@type": "ListItem", "position": 2, "name": "Services",</w:t>
            </w:r>
          </w:p>
          <w:p>
            <w:pPr>
              <w:spacing w:after="0" w:line="240"/>
            </w:pPr>
            <w:r>
              <w:rPr>
                <w:rFonts w:ascii="Consolas" w:cs="Consolas" w:eastAsia="Consolas" w:hAnsi="Consolas"/>
                <w:color w:val="D6E4F7"/>
                <w:sz w:val="17"/>
                <w:szCs w:val="17"/>
              </w:rPr>
              <w:t xml:space="preserve">      "item": "https://www.xloopdigital.com/services" },</w:t>
            </w:r>
          </w:p>
          <w:p>
            <w:pPr>
              <w:spacing w:after="0" w:line="240"/>
            </w:pPr>
            <w:r>
              <w:rPr>
                <w:rFonts w:ascii="Consolas" w:cs="Consolas" w:eastAsia="Consolas" w:hAnsi="Consolas"/>
                <w:color w:val="D6E4F7"/>
                <w:sz w:val="17"/>
                <w:szCs w:val="17"/>
              </w:rPr>
              <w:t xml:space="preserve">    { "@type": "ListItem", "position": 3,</w:t>
            </w:r>
          </w:p>
          <w:p>
            <w:pPr>
              <w:spacing w:after="0" w:line="240"/>
            </w:pPr>
            <w:r>
              <w:rPr>
                <w:rFonts w:ascii="Consolas" w:cs="Consolas" w:eastAsia="Consolas" w:hAnsi="Consolas"/>
                <w:color w:val="D6E4F7"/>
                <w:sz w:val="17"/>
                <w:szCs w:val="17"/>
              </w:rPr>
              <w:t xml:space="preserve">      "name": "NEPRA IT/OT Compliance" }</w:t>
            </w:r>
          </w:p>
          <w:p>
            <w:pPr>
              <w:spacing w:after="0" w:line="240"/>
            </w:pPr>
            <w:r>
              <w:rPr>
                <w:rFonts w:ascii="Consolas" w:cs="Consolas" w:eastAsia="Consolas" w:hAnsi="Consolas"/>
                <w:color w:val="D6E4F7"/>
                <w:sz w:val="17"/>
                <w:szCs w:val="17"/>
              </w:rPr>
              <w:t xml:space="preserve">  ]</w:t>
            </w:r>
          </w:p>
          <w:p>
            <w:pPr>
              <w:spacing w:after="0" w:line="240"/>
            </w:pPr>
            <w:r>
              <w:rPr>
                <w:rFonts w:ascii="Consolas" w:cs="Consolas" w:eastAsia="Consolas" w:hAnsi="Consolas"/>
                <w:color w:val="D6E4F7"/>
                <w:sz w:val="17"/>
                <w:szCs w:val="17"/>
              </w:rPr>
              <w:t xml:space="preserve">}</w:t>
            </w:r>
          </w:p>
        </w:tc>
      </w:tr>
    </w:tbl>
    <w:p>
      <w:pPr>
        <w:spacing w:after="120"/>
      </w:pPr>
      <w:r>
        <w:rPr>
          <w:rFonts w:ascii="Aptos" w:cs="Aptos" w:eastAsia="Aptos" w:hAnsi="Aptos"/>
          <w:sz w:val="21"/>
          <w:szCs w:val="21"/>
        </w:rPr>
        <w:t xml:space="preserve"/>
      </w:r>
    </w:p>
    <w:p>
      <w:pPr>
        <w:spacing w:after="120" w:line="276"/>
      </w:pPr>
      <w:r>
        <w:rPr>
          <w:rFonts w:ascii="Aptos" w:cs="Aptos" w:eastAsia="Aptos" w:hAnsi="Aptos"/>
          <w:sz w:val="21"/>
          <w:szCs w:val="21"/>
        </w:rPr>
        <w:t xml:space="preserve">Validate all three at </w:t>
      </w:r>
      <w:r>
        <w:rPr>
          <w:rFonts w:ascii="Consolas" w:cs="Consolas" w:eastAsia="Consolas" w:hAnsi="Consolas"/>
          <w:sz w:val="17"/>
          <w:szCs w:val="17"/>
        </w:rPr>
        <w:t xml:space="preserve">search.google.com/test/rich-results</w:t>
      </w:r>
      <w:r>
        <w:rPr>
          <w:rFonts w:ascii="Aptos" w:cs="Aptos" w:eastAsia="Aptos" w:hAnsi="Aptos"/>
          <w:sz w:val="21"/>
          <w:szCs w:val="21"/>
        </w:rPr>
        <w:t xml:space="preserve"> before launch, and again after any change to the FAQ copy.</w:t>
      </w:r>
    </w:p>
    <w:p>
      <w:r>
        <w:br w:type="page"/>
      </w:r>
    </w:p>
    <w:p>
      <w:pPr>
        <w:pStyle w:val="Heading1"/>
        <w:spacing w:after="140" w:before="340"/>
      </w:pPr>
      <w:r>
        <w:rPr>
          <w:rFonts w:ascii="Aptos" w:cs="Aptos" w:eastAsia="Aptos" w:hAnsi="Aptos"/>
          <w:b/>
          <w:bCs/>
          <w:color w:val="0A1B3D"/>
          <w:sz w:val="32"/>
          <w:szCs w:val="32"/>
        </w:rPr>
        <w:t xml:space="preserve">Global build rules</w:t>
      </w:r>
    </w:p>
    <w:p>
      <w:pPr>
        <w:pStyle w:val="Heading2"/>
        <w:spacing w:after="110" w:before="280"/>
      </w:pPr>
      <w:r>
        <w:rPr>
          <w:rFonts w:ascii="Aptos" w:cs="Aptos" w:eastAsia="Aptos" w:hAnsi="Aptos"/>
          <w:b/>
          <w:bCs/>
          <w:color w:val="0A1B3D"/>
          <w:sz w:val="25"/>
          <w:szCs w:val="25"/>
        </w:rPr>
        <w:t xml:space="preserve">Contact links</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1500"/>
        <w:gridCol w:w="3000"/>
        <w:gridCol w:w="4526"/>
      </w:tblGrid>
      <w:tr>
        <w:trPr>
          <w:tblHeader/>
        </w:trPr>
        <w:tc>
          <w:tcPr>
            <w:tcW w:type="dxa" w:w="15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Element</w:t>
            </w:r>
          </w:p>
        </w:tc>
        <w:tc>
          <w:tcPr>
            <w:tcW w:type="dxa" w:w="30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Displayed as</w:t>
            </w:r>
          </w:p>
        </w:tc>
        <w:tc>
          <w:tcPr>
            <w:tcW w:type="dxa" w:w="45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Link</w:t>
            </w:r>
          </w:p>
        </w:tc>
      </w:tr>
      <w:tr>
        <w:tc>
          <w:tcPr>
            <w:tcW w:type="dxa" w:w="15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Phone</w:t>
            </w:r>
          </w:p>
        </w:tc>
        <w:tc>
          <w:tcPr>
            <w:tcW w:type="dxa" w:w="30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+92 21 3586 9200</w:t>
            </w:r>
          </w:p>
        </w:tc>
        <w:tc>
          <w:tcPr>
            <w:tcW w:type="dxa" w:w="45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tel:+922135869200</w:t>
            </w:r>
          </w:p>
        </w:tc>
      </w:tr>
      <w:tr>
        <w:tc>
          <w:tcPr>
            <w:tcW w:type="dxa" w:w="15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Email</w:t>
            </w:r>
          </w:p>
        </w:tc>
        <w:tc>
          <w:tcPr>
            <w:tcW w:type="dxa" w:w="30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xsecurity@xloopdigital.com</w:t>
            </w:r>
          </w:p>
        </w:tc>
        <w:tc>
          <w:tcPr>
            <w:tcW w:type="dxa" w:w="45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mailto:xsecurity@xloopdigital.com?subject=NEPRA%20IT%2FOT%20Compliance%20enquiry</w:t>
            </w:r>
          </w:p>
        </w:tc>
      </w:tr>
    </w:tbl>
    <w:p>
      <w:pPr>
        <w:spacing w:after="120"/>
      </w:pPr>
      <w:r>
        <w:rPr>
          <w:rFonts w:ascii="Aptos" w:cs="Aptos" w:eastAsia="Aptos" w:hAnsi="Aptos"/>
          <w:sz w:val="21"/>
          <w:szCs w:val="21"/>
        </w:rPr>
        <w:t xml:space="preserve"/>
      </w:r>
    </w:p>
    <w:p>
      <w:pPr>
        <w:pStyle w:val="ListParagraph"/>
        <w:numPr>
          <w:ilvl w:val="0"/>
          <w:numId w:val="2"/>
        </w:numPr>
        <w:spacing w:after="60" w:line="276"/>
      </w:pPr>
      <w:r>
        <w:rPr>
          <w:rFonts w:ascii="Aptos" w:cs="Aptos" w:eastAsia="Aptos" w:hAnsi="Aptos"/>
          <w:sz w:val="21"/>
          <w:szCs w:val="21"/>
        </w:rPr>
        <w:t xml:space="preserve">The flyer prints (021) 35869200. Same number — the international form is used in the href so it dials correctly from a mobile roaming or abroad.</w:t>
      </w:r>
    </w:p>
    <w:p>
      <w:pPr>
        <w:pStyle w:val="ListParagraph"/>
        <w:numPr>
          <w:ilvl w:val="0"/>
          <w:numId w:val="2"/>
        </w:numPr>
        <w:spacing w:after="60" w:line="276"/>
      </w:pPr>
      <w:r>
        <w:rPr>
          <w:rFonts w:ascii="Aptos" w:cs="Aptos" w:eastAsia="Aptos" w:hAnsi="Aptos"/>
          <w:sz w:val="21"/>
          <w:szCs w:val="21"/>
        </w:rPr>
        <w:t xml:space="preserve">The pre-filled email subject is how campaign replies get separated from ordinary inbound. Do not drop it.</w:t>
      </w:r>
    </w:p>
    <w:p>
      <w:pPr>
        <w:pStyle w:val="ListParagraph"/>
        <w:numPr>
          <w:ilvl w:val="0"/>
          <w:numId w:val="2"/>
        </w:numPr>
        <w:spacing w:after="60" w:line="276"/>
      </w:pPr>
      <w:r>
        <w:rPr>
          <w:rFonts w:ascii="Aptos" w:cs="Aptos" w:eastAsia="Aptos" w:hAnsi="Aptos"/>
          <w:sz w:val="21"/>
          <w:szCs w:val="21"/>
        </w:rPr>
        <w:t xml:space="preserve">There is no form and no booking link anywhere on this page. The phone and the email are the conversion mechanism, exactly as printed on the letter.</w:t>
      </w:r>
    </w:p>
    <w:p>
      <w:pPr>
        <w:pStyle w:val="Heading2"/>
        <w:spacing w:after="110" w:before="280"/>
      </w:pPr>
      <w:r>
        <w:rPr>
          <w:rFonts w:ascii="Aptos" w:cs="Aptos" w:eastAsia="Aptos" w:hAnsi="Aptos"/>
          <w:b/>
          <w:bCs/>
          <w:color w:val="0A1B3D"/>
          <w:sz w:val="25"/>
          <w:szCs w:val="25"/>
        </w:rPr>
        <w:t xml:space="preserve">Things that must not happen</w:t>
      </w:r>
    </w:p>
    <w:p>
      <w:pPr>
        <w:pStyle w:val="ListParagraph"/>
        <w:numPr>
          <w:ilvl w:val="0"/>
          <w:numId w:val="2"/>
        </w:numPr>
        <w:spacing w:after="60" w:line="276"/>
      </w:pPr>
      <w:r>
        <w:rPr>
          <w:rFonts w:ascii="Aptos" w:cs="Aptos" w:eastAsia="Aptos" w:hAnsi="Aptos"/>
          <w:b/>
          <w:bCs/>
          <w:sz w:val="21"/>
          <w:szCs w:val="21"/>
        </w:rPr>
        <w:t xml:space="preserve">No pop-up, modal or interstitial. </w:t>
      </w:r>
      <w:r>
        <w:rPr>
          <w:rFonts w:ascii="Aptos" w:cs="Aptos" w:eastAsia="Aptos" w:hAnsi="Aptos"/>
          <w:sz w:val="21"/>
          <w:szCs w:val="21"/>
        </w:rPr>
        <w:t xml:space="preserve">Google penalises intrusive interstitials on mobile, and an overlay is invisible to an AI agent reading the page.</w:t>
      </w:r>
    </w:p>
    <w:p>
      <w:pPr>
        <w:pStyle w:val="ListParagraph"/>
        <w:numPr>
          <w:ilvl w:val="0"/>
          <w:numId w:val="2"/>
        </w:numPr>
        <w:spacing w:after="60" w:line="276"/>
      </w:pPr>
      <w:r>
        <w:rPr>
          <w:rFonts w:ascii="Aptos" w:cs="Aptos" w:eastAsia="Aptos" w:hAnsi="Aptos"/>
          <w:b/>
          <w:bCs/>
          <w:sz w:val="21"/>
          <w:szCs w:val="21"/>
        </w:rPr>
        <w:t xml:space="preserve">No gated PDF. </w:t>
      </w:r>
      <w:r>
        <w:rPr>
          <w:rFonts w:ascii="Aptos" w:cs="Aptos" w:eastAsia="Aptos" w:hAnsi="Aptos"/>
          <w:sz w:val="21"/>
          <w:szCs w:val="21"/>
        </w:rPr>
        <w:t xml:space="preserve">If the compliance bundle needs a document, the content goes on the page and the PDF is a bonus.</w:t>
      </w:r>
    </w:p>
    <w:p>
      <w:pPr>
        <w:pStyle w:val="ListParagraph"/>
        <w:numPr>
          <w:ilvl w:val="0"/>
          <w:numId w:val="2"/>
        </w:numPr>
        <w:spacing w:after="60" w:line="276"/>
      </w:pPr>
      <w:r>
        <w:rPr>
          <w:rFonts w:ascii="Aptos" w:cs="Aptos" w:eastAsia="Aptos" w:hAnsi="Aptos"/>
          <w:b/>
          <w:bCs/>
          <w:sz w:val="21"/>
          <w:szCs w:val="21"/>
        </w:rPr>
        <w:t xml:space="preserve">The flyer image is not page content. </w:t>
      </w:r>
      <w:r>
        <w:rPr>
          <w:rFonts w:ascii="Aptos" w:cs="Aptos" w:eastAsia="Aptos" w:hAnsi="Aptos"/>
          <w:sz w:val="21"/>
          <w:szCs w:val="21"/>
        </w:rPr>
        <w:t xml:space="preserve">It may exist as a small download or a share asset. It must never carry information that exists nowhere else in text.</w:t>
      </w:r>
    </w:p>
    <w:p>
      <w:pPr>
        <w:pStyle w:val="ListParagraph"/>
        <w:numPr>
          <w:ilvl w:val="0"/>
          <w:numId w:val="2"/>
        </w:numPr>
        <w:spacing w:after="60" w:line="276"/>
      </w:pPr>
      <w:r>
        <w:rPr>
          <w:rFonts w:ascii="Aptos" w:cs="Aptos" w:eastAsia="Aptos" w:hAnsi="Aptos"/>
          <w:b/>
          <w:bCs/>
          <w:sz w:val="21"/>
          <w:szCs w:val="21"/>
        </w:rPr>
        <w:t xml:space="preserve">One H1. </w:t>
      </w:r>
      <w:r>
        <w:rPr>
          <w:rFonts w:ascii="Aptos" w:cs="Aptos" w:eastAsia="Aptos" w:hAnsi="Aptos"/>
          <w:sz w:val="21"/>
          <w:szCs w:val="21"/>
        </w:rPr>
        <w:t xml:space="preserve">Block 01 only. Every other block heading is an H2, and FAQ questions are H3s.</w:t>
      </w:r>
    </w:p>
    <w:p>
      <w:pPr>
        <w:pStyle w:val="ListParagraph"/>
        <w:numPr>
          <w:ilvl w:val="0"/>
          <w:numId w:val="2"/>
        </w:numPr>
        <w:spacing w:after="60" w:line="276"/>
      </w:pPr>
      <w:r>
        <w:rPr>
          <w:rFonts w:ascii="Aptos" w:cs="Aptos" w:eastAsia="Aptos" w:hAnsi="Aptos"/>
          <w:b/>
          <w:bCs/>
          <w:sz w:val="21"/>
          <w:szCs w:val="21"/>
        </w:rPr>
        <w:t xml:space="preserve">Nothing important rendered by JavaScript after paint. </w:t>
      </w:r>
      <w:r>
        <w:rPr>
          <w:rFonts w:ascii="Aptos" w:cs="Aptos" w:eastAsia="Aptos" w:hAnsi="Aptos"/>
          <w:sz w:val="21"/>
          <w:szCs w:val="21"/>
        </w:rPr>
        <w:t xml:space="preserve">Most AI crawlers do not execute JS. Applies to the coverage table and the FAQ answers in particular.</w:t>
      </w:r>
    </w:p>
    <w:p>
      <w:pPr>
        <w:pStyle w:val="ListParagraph"/>
        <w:numPr>
          <w:ilvl w:val="0"/>
          <w:numId w:val="2"/>
        </w:numPr>
        <w:spacing w:after="60" w:line="276"/>
      </w:pPr>
      <w:r>
        <w:rPr>
          <w:rFonts w:ascii="Aptos" w:cs="Aptos" w:eastAsia="Aptos" w:hAnsi="Aptos"/>
          <w:b/>
          <w:bCs/>
          <w:sz w:val="21"/>
          <w:szCs w:val="21"/>
        </w:rPr>
        <w:t xml:space="preserve">No invented statistics. </w:t>
      </w:r>
      <w:r>
        <w:rPr>
          <w:rFonts w:ascii="Aptos" w:cs="Aptos" w:eastAsia="Aptos" w:hAnsi="Aptos"/>
          <w:sz w:val="21"/>
          <w:szCs w:val="21"/>
        </w:rPr>
        <w:t xml:space="preserve">Every number on this page traces to the regulations or to a delivered engagement. This audience would catch a fabricated one.</w:t>
      </w:r>
    </w:p>
    <w:p>
      <w:pPr>
        <w:pStyle w:val="Heading2"/>
        <w:spacing w:after="110" w:before="280"/>
      </w:pPr>
      <w:r>
        <w:rPr>
          <w:rFonts w:ascii="Aptos" w:cs="Aptos" w:eastAsia="Aptos" w:hAnsi="Aptos"/>
          <w:b/>
          <w:bCs/>
          <w:color w:val="0A1B3D"/>
          <w:sz w:val="25"/>
          <w:szCs w:val="25"/>
        </w:rPr>
        <w:t xml:space="preserve">Semantic structure</w:t>
      </w:r>
    </w:p>
    <w:p>
      <w:pPr>
        <w:pStyle w:val="ListParagraph"/>
        <w:numPr>
          <w:ilvl w:val="0"/>
          <w:numId w:val="2"/>
        </w:numPr>
        <w:spacing w:after="60" w:line="276"/>
      </w:pPr>
      <w:r>
        <w:rPr>
          <w:rFonts w:ascii="Consolas" w:cs="Consolas" w:eastAsia="Consolas" w:hAnsi="Consolas"/>
          <w:sz w:val="17"/>
          <w:szCs w:val="17"/>
        </w:rPr>
        <w:t xml:space="preserve">&lt;main&gt;</w:t>
      </w:r>
      <w:r>
        <w:rPr>
          <w:rFonts w:ascii="Aptos" w:cs="Aptos" w:eastAsia="Aptos" w:hAnsi="Aptos"/>
          <w:sz w:val="21"/>
          <w:szCs w:val="21"/>
        </w:rPr>
        <w:t xml:space="preserve"> wrapping the page, </w:t>
      </w:r>
      <w:r>
        <w:rPr>
          <w:rFonts w:ascii="Consolas" w:cs="Consolas" w:eastAsia="Consolas" w:hAnsi="Consolas"/>
          <w:sz w:val="17"/>
          <w:szCs w:val="17"/>
        </w:rPr>
        <w:t xml:space="preserve">&lt;section&gt;</w:t>
      </w:r>
      <w:r>
        <w:rPr>
          <w:rFonts w:ascii="Aptos" w:cs="Aptos" w:eastAsia="Aptos" w:hAnsi="Aptos"/>
          <w:sz w:val="21"/>
          <w:szCs w:val="21"/>
        </w:rPr>
        <w:t xml:space="preserve"> per block, headings in order with no skipped levels.</w:t>
      </w:r>
    </w:p>
    <w:p>
      <w:pPr>
        <w:pStyle w:val="ListParagraph"/>
        <w:numPr>
          <w:ilvl w:val="0"/>
          <w:numId w:val="2"/>
        </w:numPr>
        <w:spacing w:after="60" w:line="276"/>
      </w:pPr>
      <w:r>
        <w:rPr>
          <w:rFonts w:ascii="Aptos" w:cs="Aptos" w:eastAsia="Aptos" w:hAnsi="Aptos"/>
          <w:sz w:val="21"/>
          <w:szCs w:val="21"/>
        </w:rPr>
        <w:t xml:space="preserve">Real </w:t>
      </w:r>
      <w:r>
        <w:rPr>
          <w:rFonts w:ascii="Consolas" w:cs="Consolas" w:eastAsia="Consolas" w:hAnsi="Consolas"/>
          <w:sz w:val="17"/>
          <w:szCs w:val="17"/>
        </w:rPr>
        <w:t xml:space="preserve">&lt;table&gt;</w:t>
      </w:r>
      <w:r>
        <w:rPr>
          <w:rFonts w:ascii="Aptos" w:cs="Aptos" w:eastAsia="Aptos" w:hAnsi="Aptos"/>
          <w:sz w:val="21"/>
          <w:szCs w:val="21"/>
        </w:rPr>
        <w:t xml:space="preserve">, real </w:t>
      </w:r>
      <w:r>
        <w:rPr>
          <w:rFonts w:ascii="Consolas" w:cs="Consolas" w:eastAsia="Consolas" w:hAnsi="Consolas"/>
          <w:sz w:val="17"/>
          <w:szCs w:val="17"/>
        </w:rPr>
        <w:t xml:space="preserve">&lt;ul&gt;</w:t>
      </w:r>
      <w:r>
        <w:rPr>
          <w:rFonts w:ascii="Aptos" w:cs="Aptos" w:eastAsia="Aptos" w:hAnsi="Aptos"/>
          <w:sz w:val="21"/>
          <w:szCs w:val="21"/>
        </w:rPr>
        <w:t xml:space="preserve">/</w:t>
      </w:r>
      <w:r>
        <w:rPr>
          <w:rFonts w:ascii="Consolas" w:cs="Consolas" w:eastAsia="Consolas" w:hAnsi="Consolas"/>
          <w:sz w:val="17"/>
          <w:szCs w:val="17"/>
        </w:rPr>
        <w:t xml:space="preserve">&lt;ol&gt;</w:t>
      </w:r>
      <w:r>
        <w:rPr>
          <w:rFonts w:ascii="Aptos" w:cs="Aptos" w:eastAsia="Aptos" w:hAnsi="Aptos"/>
          <w:sz w:val="21"/>
          <w:szCs w:val="21"/>
        </w:rPr>
        <w:t xml:space="preserve">, real </w:t>
      </w:r>
      <w:r>
        <w:rPr>
          <w:rFonts w:ascii="Consolas" w:cs="Consolas" w:eastAsia="Consolas" w:hAnsi="Consolas"/>
          <w:sz w:val="17"/>
          <w:szCs w:val="17"/>
        </w:rPr>
        <w:t xml:space="preserve">&lt;th scope="row"&gt;</w:t>
      </w:r>
      <w:r>
        <w:rPr>
          <w:rFonts w:ascii="Aptos" w:cs="Aptos" w:eastAsia="Aptos" w:hAnsi="Aptos"/>
          <w:sz w:val="21"/>
          <w:szCs w:val="21"/>
        </w:rPr>
        <w:t xml:space="preserve">. Extraction quality depends directly on it.</w:t>
      </w:r>
    </w:p>
    <w:p>
      <w:pPr>
        <w:pStyle w:val="ListParagraph"/>
        <w:numPr>
          <w:ilvl w:val="0"/>
          <w:numId w:val="2"/>
        </w:numPr>
        <w:spacing w:after="60" w:line="276"/>
      </w:pPr>
      <w:r>
        <w:rPr>
          <w:rFonts w:ascii="Aptos" w:cs="Aptos" w:eastAsia="Aptos" w:hAnsi="Aptos"/>
          <w:sz w:val="21"/>
          <w:szCs w:val="21"/>
        </w:rPr>
        <w:t xml:space="preserve">Visible focus states on both CTA buttons and every link. This page will be read on government and utility desktops with keyboard navigation and older assistive tech.</w:t>
      </w:r>
    </w:p>
    <w:p>
      <w:pPr>
        <w:pStyle w:val="Heading2"/>
        <w:spacing w:after="110" w:before="280"/>
      </w:pPr>
      <w:r>
        <w:rPr>
          <w:rFonts w:ascii="Aptos" w:cs="Aptos" w:eastAsia="Aptos" w:hAnsi="Aptos"/>
          <w:b/>
          <w:bCs/>
          <w:color w:val="0A1B3D"/>
          <w:sz w:val="25"/>
          <w:szCs w:val="25"/>
        </w:rPr>
        <w:t xml:space="preserve">Assets to produce</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2100"/>
        <w:gridCol w:w="2400"/>
        <w:gridCol w:w="4526"/>
      </w:tblGrid>
      <w:tr>
        <w:trPr>
          <w:tblHeader/>
        </w:trPr>
        <w:tc>
          <w:tcPr>
            <w:tcW w:type="dxa" w:w="21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Asset</w:t>
            </w:r>
          </w:p>
        </w:tc>
        <w:tc>
          <w:tcPr>
            <w:tcW w:type="dxa" w:w="24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Spec</w:t>
            </w:r>
          </w:p>
        </w:tc>
        <w:tc>
          <w:tcPr>
            <w:tcW w:type="dxa" w:w="45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Notes</w:t>
            </w:r>
          </w:p>
        </w:tc>
      </w:tr>
      <w:tr>
        <w:tc>
          <w:tcPr>
            <w:tcW w:type="dxa" w:w="21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Hero visual</w:t>
            </w:r>
          </w:p>
        </w:tc>
        <w:tc>
          <w:tcPr>
            <w:tcW w:type="dxa" w:w="24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Landscape, retina</w:t>
            </w:r>
          </w:p>
        </w:tc>
        <w:tc>
          <w:tcPr>
            <w:tcW w:type="dxa" w:w="45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Transmission infrastructure, substation or control room. Not abstract padlock/circuit imagery.</w:t>
            </w:r>
          </w:p>
        </w:tc>
      </w:tr>
      <w:tr>
        <w:tc>
          <w:tcPr>
            <w:tcW w:type="dxa" w:w="21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Four service icons</w:t>
            </w:r>
          </w:p>
        </w:tc>
        <w:tc>
          <w:tcPr>
            <w:tcW w:type="dxa" w:w="24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34px rounded square, 1px blue border</w:t>
            </w:r>
          </w:p>
        </w:tc>
        <w:tc>
          <w:tcPr>
            <w:tcW w:type="dxa" w:w="45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Match the existing capability-card icon style exactly.</w:t>
            </w:r>
          </w:p>
        </w:tc>
      </w:tr>
      <w:tr>
        <w:tc>
          <w:tcPr>
            <w:tcW w:type="dxa" w:w="21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OG / social image</w:t>
            </w:r>
          </w:p>
        </w:tc>
        <w:tc>
          <w:tcPr>
            <w:tcW w:type="dxa" w:w="24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1200 × 630</w:t>
            </w:r>
          </w:p>
        </w:tc>
        <w:tc>
          <w:tcPr>
            <w:tcW w:type="dxa" w:w="45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Purpose-built. The flyer is portrait and crops badly.</w:t>
            </w:r>
          </w:p>
        </w:tc>
      </w:tr>
    </w:tbl>
    <w:p>
      <w:pPr>
        <w:spacing w:after="140"/>
      </w:pPr>
      <w:r>
        <w:rPr>
          <w:rFonts w:ascii="Aptos" w:cs="Aptos" w:eastAsia="Aptos" w:hAnsi="Aptos"/>
          <w:sz w:val="21"/>
          <w:szCs w:val="21"/>
        </w:rPr>
        <w:t xml:space="preserve"/>
      </w:r>
    </w:p>
    <w:p>
      <w:pPr>
        <w:pStyle w:val="Heading2"/>
        <w:spacing w:after="110" w:before="280"/>
      </w:pPr>
      <w:r>
        <w:rPr>
          <w:rFonts w:ascii="Aptos" w:cs="Aptos" w:eastAsia="Aptos" w:hAnsi="Aptos"/>
          <w:b/>
          <w:bCs/>
          <w:color w:val="0A1B3D"/>
          <w:sz w:val="25"/>
          <w:szCs w:val="25"/>
        </w:rPr>
        <w:t xml:space="preserve">Image alt text</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2600"/>
        <w:gridCol w:w="6426"/>
      </w:tblGrid>
      <w:tr>
        <w:trPr>
          <w:tblHeader/>
        </w:trPr>
        <w:tc>
          <w:tcPr>
            <w:tcW w:type="dxa" w:w="2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Image</w:t>
            </w:r>
          </w:p>
        </w:tc>
        <w:tc>
          <w:tcPr>
            <w:tcW w:type="dxa" w:w="64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Alt text</w:t>
            </w:r>
          </w:p>
        </w:tc>
      </w:tr>
      <w:tr>
        <w:tc>
          <w:tcPr>
            <w:tcW w:type="dxa" w:w="2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Hero visual</w:t>
            </w:r>
          </w:p>
        </w:tc>
        <w:tc>
          <w:tcPr>
            <w:tcW w:type="dxa" w:w="64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High-voltage transmission infrastructure in Pakistan</w:t>
            </w:r>
          </w:p>
        </w:tc>
      </w:tr>
      <w:tr>
        <w:tc>
          <w:tcPr>
            <w:tcW w:type="dxa" w:w="2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Audit icon</w:t>
            </w:r>
          </w:p>
        </w:tc>
        <w:tc>
          <w:tcPr>
            <w:tcW w:type="dxa" w:w="64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NEPRA compliance audit</w:t>
            </w:r>
          </w:p>
        </w:tc>
      </w:tr>
      <w:tr>
        <w:tc>
          <w:tcPr>
            <w:tcW w:type="dxa" w:w="2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VAPT icon</w:t>
            </w:r>
          </w:p>
        </w:tc>
        <w:tc>
          <w:tcPr>
            <w:tcW w:type="dxa" w:w="64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IT and OT penetration testing</w:t>
            </w:r>
          </w:p>
        </w:tc>
      </w:tr>
      <w:tr>
        <w:tc>
          <w:tcPr>
            <w:tcW w:type="dxa" w:w="2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Policy icon</w:t>
            </w:r>
          </w:p>
        </w:tc>
        <w:tc>
          <w:tcPr>
            <w:tcW w:type="dxa" w:w="64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policy framework</w:t>
            </w:r>
          </w:p>
        </w:tc>
      </w:tr>
      <w:tr>
        <w:tc>
          <w:tcPr>
            <w:tcW w:type="dxa" w:w="2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Training icon</w:t>
            </w:r>
          </w:p>
        </w:tc>
        <w:tc>
          <w:tcPr>
            <w:tcW w:type="dxa" w:w="64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Cybersecurity awareness training</w:t>
            </w:r>
          </w:p>
        </w:tc>
      </w:tr>
    </w:tbl>
    <w:p>
      <w:pPr>
        <w:spacing w:after="120"/>
      </w:pPr>
      <w:r>
        <w:rPr>
          <w:rFonts w:ascii="Aptos" w:cs="Aptos" w:eastAsia="Aptos" w:hAnsi="Aptos"/>
          <w:sz w:val="21"/>
          <w:szCs w:val="21"/>
        </w:rPr>
        <w:t xml:space="preserve"/>
      </w:r>
    </w:p>
    <w:p>
      <w:pPr>
        <w:spacing w:after="120" w:line="276"/>
      </w:pPr>
      <w:r>
        <w:rPr>
          <w:rFonts w:ascii="Aptos" w:cs="Aptos" w:eastAsia="Aptos" w:hAnsi="Aptos"/>
          <w:sz w:val="21"/>
          <w:szCs w:val="21"/>
        </w:rPr>
        <w:t xml:space="preserve">Decorative icons may take empty alt where a text label beside them already says the same thing. Do not keyword-stuff alt text — it is a spam signal, not a ranking one.</w:t>
      </w:r>
    </w:p>
    <w:p>
      <w:pPr>
        <w:pStyle w:val="Heading2"/>
        <w:spacing w:after="110" w:before="280"/>
      </w:pPr>
      <w:r>
        <w:rPr>
          <w:rFonts w:ascii="Aptos" w:cs="Aptos" w:eastAsia="Aptos" w:hAnsi="Aptos"/>
          <w:b/>
          <w:bCs/>
          <w:color w:val="0A1B3D"/>
          <w:sz w:val="25"/>
          <w:szCs w:val="25"/>
        </w:rPr>
        <w:t xml:space="preserve">Internal links in</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2500"/>
        <w:gridCol w:w="3000"/>
        <w:gridCol w:w="3526"/>
      </w:tblGrid>
      <w:tr>
        <w:trPr>
          <w:tblHeader/>
        </w:trPr>
        <w:tc>
          <w:tcPr>
            <w:tcW w:type="dxa" w:w="25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From</w:t>
            </w:r>
          </w:p>
        </w:tc>
        <w:tc>
          <w:tcPr>
            <w:tcW w:type="dxa" w:w="30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Anchor text</w:t>
            </w:r>
          </w:p>
        </w:tc>
        <w:tc>
          <w:tcPr>
            <w:tcW w:type="dxa" w:w="35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Note</w:t>
            </w:r>
          </w:p>
        </w:tc>
      </w:tr>
      <w:tr>
        <w:tc>
          <w:tcPr>
            <w:tcW w:type="dxa" w:w="25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Homepage NEPRA band</w:t>
            </w:r>
          </w:p>
        </w:tc>
        <w:tc>
          <w:tcPr>
            <w:tcW w:type="dxa" w:w="30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See NEPRA Compliance Services</w:t>
            </w:r>
          </w:p>
        </w:tc>
        <w:tc>
          <w:tcPr>
            <w:tcW w:type="dxa" w:w="35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The permanent one. This is what makes the page rank.</w:t>
            </w:r>
          </w:p>
        </w:tc>
      </w:tr>
      <w:tr>
        <w:tc>
          <w:tcPr>
            <w:tcW w:type="dxa" w:w="25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Homepage capability card</w:t>
            </w:r>
          </w:p>
        </w:tc>
        <w:tc>
          <w:tcPr>
            <w:tcW w:type="dxa" w:w="30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NEPRA IT/OT Compliance</w:t>
            </w:r>
          </w:p>
        </w:tc>
        <w:tc>
          <w:tcPr>
            <w:tcW w:type="dxa" w:w="35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Permanent.</w:t>
            </w:r>
          </w:p>
        </w:tc>
      </w:tr>
      <w:tr>
        <w:tc>
          <w:tcPr>
            <w:tcW w:type="dxa" w:w="25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Homepage announcement ribbon</w:t>
            </w:r>
          </w:p>
        </w:tc>
        <w:tc>
          <w:tcPr>
            <w:tcW w:type="dxa" w:w="30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See our NEPRA services</w:t>
            </w:r>
          </w:p>
        </w:tc>
        <w:tc>
          <w:tcPr>
            <w:tcW w:type="dxa" w:w="35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Temporary — removed on day 30.</w:t>
            </w:r>
          </w:p>
        </w:tc>
      </w:tr>
      <w:tr>
        <w:tc>
          <w:tcPr>
            <w:tcW w:type="dxa" w:w="25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Cyber Security Services page</w:t>
            </w:r>
          </w:p>
        </w:tc>
        <w:tc>
          <w:tcPr>
            <w:tcW w:type="dxa" w:w="30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NEPRA IT/OT compliance audits</w:t>
            </w:r>
          </w:p>
        </w:tc>
        <w:tc>
          <w:tcPr>
            <w:tcW w:type="dxa" w:w="35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Permanent.</w:t>
            </w:r>
          </w:p>
        </w:tc>
      </w:tr>
    </w:tbl>
    <w:p>
      <w:pPr>
        <w:spacing w:after="120"/>
      </w:pPr>
      <w:r>
        <w:rPr>
          <w:rFonts w:ascii="Aptos" w:cs="Aptos" w:eastAsia="Aptos" w:hAnsi="Aptos"/>
          <w:sz w:val="21"/>
          <w:szCs w:val="21"/>
        </w:rPr>
        <w:t xml:space="preserve"/>
      </w:r>
    </w:p>
    <w:p>
      <w:pPr>
        <w:spacing w:after="120" w:line="276"/>
      </w:pPr>
      <w:r>
        <w:rPr>
          <w:rFonts w:ascii="Aptos" w:cs="Aptos" w:eastAsia="Aptos" w:hAnsi="Aptos"/>
          <w:b/>
          <w:bCs/>
          <w:sz w:val="21"/>
          <w:szCs w:val="21"/>
        </w:rPr>
        <w:t xml:space="preserve">Vary the anchor text. </w:t>
      </w:r>
      <w:r>
        <w:rPr>
          <w:rFonts w:ascii="Aptos" w:cs="Aptos" w:eastAsia="Aptos" w:hAnsi="Aptos"/>
          <w:sz w:val="21"/>
          <w:szCs w:val="21"/>
        </w:rPr>
        <w:t xml:space="preserve">Four inbound links all reading “NEPRA compliance services” is a weaker signal than four that read naturally and differently.</w:t>
      </w:r>
    </w:p>
    <w:p>
      <w:pPr>
        <w:pStyle w:val="Heading1"/>
        <w:spacing w:after="140" w:before="340"/>
      </w:pPr>
      <w:r>
        <w:rPr>
          <w:rFonts w:ascii="Aptos" w:cs="Aptos" w:eastAsia="Aptos" w:hAnsi="Aptos"/>
          <w:b/>
          <w:bCs/>
          <w:color w:val="0A1B3D"/>
          <w:sz w:val="32"/>
          <w:szCs w:val="32"/>
        </w:rPr>
        <w:t xml:space="preserve">Open items</w:t>
      </w:r>
    </w:p>
    <w:p>
      <w:pPr>
        <w:spacing w:after="120" w:line="276"/>
      </w:pPr>
      <w:r>
        <w:rPr>
          <w:rFonts w:ascii="Aptos" w:cs="Aptos" w:eastAsia="Aptos" w:hAnsi="Aptos"/>
          <w:sz w:val="21"/>
          <w:szCs w:val="21"/>
        </w:rPr>
        <w:t xml:space="preserve">Design and build can proceed on all of it. These stop publication, not production.</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750"/>
        <w:gridCol w:w="6050"/>
        <w:gridCol w:w="2226"/>
      </w:tblGrid>
      <w:tr>
        <w:trPr>
          <w:tblHeader/>
        </w:trPr>
        <w:tc>
          <w:tcPr>
            <w:tcW w:type="dxa" w:w="75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Mark</w:t>
            </w:r>
          </w:p>
        </w:tc>
        <w:tc>
          <w:tcPr>
            <w:tcW w:type="dxa" w:w="605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Item</w:t>
            </w:r>
          </w:p>
        </w:tc>
        <w:tc>
          <w:tcPr>
            <w:tcW w:type="dxa" w:w="22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Owner</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〔V6〕</w:t>
            </w:r>
          </w:p>
        </w:tc>
        <w:tc>
          <w:tcPr>
            <w:tcW w:type="dxa" w:w="60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Confirm with NEPRA whether a Regulation 8 audit requires a CERT-recognised Category-1 firm. Supersedes the rest.</w:t>
            </w:r>
          </w:p>
        </w:tc>
        <w:tc>
          <w:tcPr>
            <w:tcW w:type="dxa" w:w="2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 / NEPRA</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〔V1〕</w:t>
            </w:r>
          </w:p>
        </w:tc>
        <w:tc>
          <w:tcPr>
            <w:tcW w:type="dxa" w:w="60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Confirm the gazetted short title of the regulations.</w:t>
            </w:r>
          </w:p>
        </w:tc>
        <w:tc>
          <w:tcPr>
            <w:tcW w:type="dxa" w:w="2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〔V2〕</w:t>
            </w:r>
          </w:p>
        </w:tc>
        <w:tc>
          <w:tcPr>
            <w:tcW w:type="dxa" w:w="60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Confirm the 72-hour significant-incident deadline.</w:t>
            </w:r>
          </w:p>
        </w:tc>
        <w:tc>
          <w:tcPr>
            <w:tcW w:type="dxa" w:w="2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〔V3〕</w:t>
            </w:r>
          </w:p>
        </w:tc>
        <w:tc>
          <w:tcPr>
            <w:tcW w:type="dxa" w:w="60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Permission for the anonymised 30 MW wind IPP reference.</w:t>
            </w:r>
          </w:p>
        </w:tc>
        <w:tc>
          <w:tcPr>
            <w:tcW w:type="dxa" w:w="2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Legal / account owner</w:t>
            </w:r>
          </w:p>
        </w:tc>
      </w:tr>
      <w:tr>
        <w:tc>
          <w:tcPr>
            <w:tcW w:type="dxa" w:w="750"/>
            <w:shd w:fill="FFFFFF"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〔V4〕</w:t>
            </w:r>
          </w:p>
        </w:tc>
        <w:tc>
          <w:tcPr>
            <w:tcW w:type="dxa" w:w="60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Decide on the NIST / IEC 62443 / MITRE ATT&amp;CK alignment line.</w:t>
            </w:r>
          </w:p>
        </w:tc>
        <w:tc>
          <w:tcPr>
            <w:tcW w:type="dxa" w:w="2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750"/>
            <w:shd w:fill="F7F9FC" w:color="auto" w:val="clear"/>
            <w:tcMar>
              <w:top w:type="dxa" w:w="100"/>
              <w:left w:type="dxa" w:w="140"/>
              <w:bottom w:type="dxa" w:w="100"/>
              <w:right w:type="dxa" w:w="140"/>
            </w:tcMar>
          </w:tcPr>
          <w:p>
            <w:pPr>
              <w:spacing w:after="0"/>
            </w:pPr>
            <w:r>
              <w:rPr>
                <w:rFonts w:ascii="Consolas" w:cs="Consolas" w:eastAsia="Consolas" w:hAnsi="Consolas"/>
                <w:b/>
                <w:bCs/>
                <w:color w:val="B45309"/>
                <w:sz w:val="15"/>
                <w:szCs w:val="15"/>
              </w:rPr>
              <w:t xml:space="preserve">〔V5〕</w:t>
            </w:r>
          </w:p>
        </w:tc>
        <w:tc>
          <w:tcPr>
            <w:tcW w:type="dxa" w:w="60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Decide whether to publish an audit duration at all.</w:t>
            </w:r>
          </w:p>
        </w:tc>
        <w:tc>
          <w:tcPr>
            <w:tcW w:type="dxa" w:w="2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Sales</w:t>
            </w:r>
          </w:p>
        </w:tc>
      </w:tr>
      <w:tr>
        <w:tc>
          <w:tcPr>
            <w:tcW w:type="dxa" w:w="75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w:t>
            </w:r>
          </w:p>
        </w:tc>
        <w:tc>
          <w:tcPr>
            <w:tcW w:type="dxa" w:w="605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Decide whether AI crawlers are allowed in robots.txt. If they are blocked sitewide, no assistant can cite this page.</w:t>
            </w:r>
          </w:p>
        </w:tc>
        <w:tc>
          <w:tcPr>
            <w:tcW w:type="dxa" w:w="2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Business / marketing</w:t>
            </w:r>
          </w:p>
        </w:tc>
      </w:tr>
      <w:tr>
        <w:tc>
          <w:tcPr>
            <w:tcW w:type="dxa" w:w="75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w:t>
            </w:r>
          </w:p>
        </w:tc>
        <w:tc>
          <w:tcPr>
            <w:tcW w:type="dxa" w:w="605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Run the four primary terms through a keyword tool for real volumes.</w:t>
            </w:r>
          </w:p>
        </w:tc>
        <w:tc>
          <w:tcPr>
            <w:tcW w:type="dxa" w:w="2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Marketing</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A6472"/>
        <w:sz w:val="16"/>
        <w:szCs w:val="16"/>
      </w:rPr>
      <w:t xml:space="preserve">/services/nepra-it-ot-compliance    </w:t>
    </w:r>
    <w:r>
      <w:rPr>
        <w:rFonts w:ascii="Aptos" w:cs="Aptos" w:eastAsia="Aptos" w:hAnsi="Aptos"/>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6" w:sz="4"/>
      </w:pBdr>
      <w:spacing w:after="60"/>
      <w:jc w:val="right"/>
    </w:pPr>
    <w:r>
      <w:rPr>
        <w:rFonts w:ascii="Aptos" w:cs="Aptos" w:eastAsia="Aptos" w:hAnsi="Aptos"/>
        <w:color w:val="5A6472"/>
        <w:sz w:val="16"/>
        <w:szCs w:val="16"/>
      </w:rPr>
      <w:t xml:space="preserve">NEPRA Landing Page  ·  Final Content &amp; Build Notes  ·  xLoop Digital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NEPRA Landing Page — Final Content &amp; Build Notes</dc:title>
  <dc:creator>xLoop Digital</dc:creator>
  <dc:description>Single source of truth for /services/nepra-it-ot-compliance</dc:description>
  <cp:lastModifiedBy>Un-named</cp:lastModifiedBy>
  <cp:revision>1</cp:revision>
  <dcterms:created xsi:type="dcterms:W3CDTF">2026-08-27T05:16:31.736Z</dcterms:created>
  <dcterms:modified xsi:type="dcterms:W3CDTF">2026-08-27T05:16:31.744Z</dcterms:modified>
</cp:coreProperties>
</file>

<file path=docProps/custom.xml><?xml version="1.0" encoding="utf-8"?>
<Properties xmlns="http://schemas.openxmlformats.org/officeDocument/2006/custom-properties" xmlns:vt="http://schemas.openxmlformats.org/officeDocument/2006/docPropsVTypes"/>
</file>