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uk-UA"/>
        </w:rPr>
        <w:t>Шляхи формування політичних еліт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uk-UA"/>
        </w:rPr>
      </w:pP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32"/>
          <w:szCs w:val="32"/>
          <w:lang w:val="uk-UA"/>
        </w:rPr>
        <w:t xml:space="preserve">Для початку доцільно буде визначити, що саме є політичною елітою.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Політична еліта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 —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це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внутрішньо-єдина соціальна сукупність осіб, яка складає меншість, але виступає суб'єктом підготовки та прийняття важливих стратегічних рішень у сфері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"https://uk.wikipedia.org/wiki/%D0%9F%D0%BE%D0%BB%D1%96%D1%82%D0%B8%D0%BA%D0%B0" \o "Політика"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політики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  <w:t xml:space="preserve">; іншими словами, той самий 1%, який керує 99%. Цих людей характеризує насамперед близькість їх цінностей та причетність до влади, а також спосіб її легітимізації. </w:t>
      </w:r>
    </w:p>
    <w:p>
      <w:pPr>
        <w:jc w:val="both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uk-UA"/>
        </w:rPr>
      </w:pP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У сучасній політології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розрізняють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дві системи відбору політичних еліт: антрепренерська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та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система гільдій.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Р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ізняться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вони тим,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хто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саме і яким чином вибирає еліту, тобто селекторатом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.</w:t>
      </w: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Style w:val="6"/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Антрепренерська система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є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відкрит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ою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,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має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широк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і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можливост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і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для будь-як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ої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суспільн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ої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груп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и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. Відбір здійснюється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за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конкурентн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оспроможністю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широким колом селекторату, яким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є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всі виборці країни. Головним засобом відбору до еліти в антрепренерській системі є вибори.</w:t>
      </w: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Style w:val="6"/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Система гільдій</w:t>
      </w:r>
      <w:r>
        <w:rPr>
          <w:rStyle w:val="6"/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майже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протилежна антрепренерській. Вона закрит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а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, відб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ирає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претендентів на більш високі посади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, причому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головним чином із нижчих прошарків самої еліти, поступовим і повільним просуванням по службі. Відбір здійснюється на основі численних формальних вимог невеликим і відносно закритим колом селекторату,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що складається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з тієї самої еліти</w:t>
      </w: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. Окрім формальних вимог, таких, як освіта, вік, стаж роботи тощо, особлива увага при призначенні на посаду звертається на партійність та особисту відданість вищому керівництву. Головним засобом відбору до еліти в системі гільдій є призначення.</w:t>
      </w:r>
    </w:p>
    <w:p>
      <w:pP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br w:type="page"/>
      </w: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</w:pPr>
    </w:p>
    <w:p>
      <w:pPr>
        <w:jc w:val="both"/>
        <w:rPr>
          <w:rFonts w:hint="default" w:ascii="Times New Roman" w:hAnsi="Times New Roman" w:eastAsia="Open Sans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</w:pP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Обидві систем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и майже ніколи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не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трапляються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у чистому вигляді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Загалом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антрепренерська система переважає в демократичних державах, а система гільдій — за авторитарних і тоталітарних.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А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нтрепренерська система добре пристосована до динамізму сучасного життя, вона більш відкрита для молодих лідерів і сприятлива для нововведень. Водночас із нею пов'язані велика ймовірність ризику в політиці, відносно слабка передбачуваність, схильність лідерів до популізму, надмірного захоплення зовнішнім ефектом, впливом на виборців.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Система гільдій характеризується виваженістю політичних рішень, передбачуваністю політики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; в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>она забезпечує наступництво в політиці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 xml:space="preserve"> (що не завжди є добре)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.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Вона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uk-UA"/>
        </w:rPr>
        <w:t>також</w:t>
      </w:r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породжує бюрократизм та</w:t>
      </w:r>
      <w:bookmarkStart w:id="0" w:name="_GoBack"/>
      <w:bookmarkEnd w:id="0"/>
      <w:r>
        <w:rPr>
          <w:rFonts w:hint="default" w:ascii="Times New Roman" w:hAnsi="Times New Roman" w:eastAsia="Open Sans" w:cs="Times New Roman"/>
          <w:i w:val="0"/>
          <w:iCs w:val="0"/>
          <w:caps w:val="0"/>
          <w:color w:val="auto"/>
          <w:spacing w:val="0"/>
          <w:sz w:val="32"/>
          <w:szCs w:val="32"/>
          <w:shd w:val="clear" w:fill="FFFFFF"/>
        </w:rPr>
        <w:t xml:space="preserve"> конформізм і за відсутності конкурентних механізмів веде до поступової дегенерації еліти, її відриву від суспільства та перетворення у вузьку привілейовану групу.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Montserrat Black">
    <w:panose1 w:val="00000A00000000000000"/>
    <w:charset w:val="00"/>
    <w:family w:val="auto"/>
    <w:pitch w:val="default"/>
    <w:sig w:usb0="2000020F" w:usb1="00000003" w:usb2="00000000" w:usb3="00000000" w:csb0="20000197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21C0B"/>
    <w:rsid w:val="074667DB"/>
    <w:rsid w:val="0E927B6D"/>
    <w:rsid w:val="119D0D03"/>
    <w:rsid w:val="19F3005A"/>
    <w:rsid w:val="1A0D716D"/>
    <w:rsid w:val="1D2F4414"/>
    <w:rsid w:val="1ED8781E"/>
    <w:rsid w:val="1F0B0A38"/>
    <w:rsid w:val="21A165ED"/>
    <w:rsid w:val="25950217"/>
    <w:rsid w:val="27E234BC"/>
    <w:rsid w:val="2C0E487F"/>
    <w:rsid w:val="2C3A2652"/>
    <w:rsid w:val="35D703D8"/>
    <w:rsid w:val="37AC0952"/>
    <w:rsid w:val="38BA00FC"/>
    <w:rsid w:val="41C80BBB"/>
    <w:rsid w:val="42F9198D"/>
    <w:rsid w:val="434F77FF"/>
    <w:rsid w:val="4BD44D46"/>
    <w:rsid w:val="51844B18"/>
    <w:rsid w:val="5AEB5C08"/>
    <w:rsid w:val="5CCD7CBB"/>
    <w:rsid w:val="61313E32"/>
    <w:rsid w:val="677A27ED"/>
    <w:rsid w:val="684B5F38"/>
    <w:rsid w:val="689E075E"/>
    <w:rsid w:val="69320EA6"/>
    <w:rsid w:val="6D365409"/>
    <w:rsid w:val="72C62E8F"/>
    <w:rsid w:val="78896197"/>
    <w:rsid w:val="792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2022-11-14T20:10:00Z</dcterms:created>
  <dc:creator>V</dc:creator>
  <cp:lastModifiedBy>Сергей Сиров</cp:lastModifiedBy>
  <dcterms:modified xsi:type="dcterms:W3CDTF">2022-11-14T20:40:39Z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7FF7281AC92040A1A0F6B89622CD8F06</vt:lpwstr>
  </property>
</Properties>
</file>