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7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№14" subtitle: "Именованные каналы" author: "Камкина Арина Леонидовна"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toc: true #Table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ectPr>
          <w:pgSz w:w="11918" w:h="16826"/>
          <w:pgMar w:top="102" w:right="114" w:bottom="0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92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Приобретение практических навыков работы с именованными каналами.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Изучите приведённые в тексте программы server.c и client.c. Взяв данные примеры за образец, напишите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аналогичные программы, внеся следующие изменения: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Работает не 1 клиент, а несколько (например, два).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Клиенты передают текущее время с некоторой периодичностью (например, раз в пять секунд).</w:t>
      </w:r>
    </w:p>
    <w:p>
      <w:pPr>
        <w:ind w:firstLine="0" w:left="62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Используйте функцию sleep() для приостановки работы клиента.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Сервер работает не бесконечно, а прекращает работу через некоторое время (например, 30 сек).</w:t>
      </w:r>
    </w:p>
    <w:p>
      <w:pPr>
        <w:ind w:firstLine="0" w:left="624"/>
        <w:spacing w:before="0" w:after="205"/>
      </w:pPr>
      <w:r>
        <w:rPr>
          <w:sz w:val="22"/>
          <w:szCs w:val="22"/>
          <w:rFonts w:ascii="Times New Roman" w:hAnsi="Times New Roman" w:cs="Times New Roman"/>
        </w:rPr>
        <w:t xml:space="preserve">Используйте функцию clock() для определения времени работы сервера. Что будет в случае, если сервер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завершит работу, не закрыв канал?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Создала подкаталог lab14, перешла в него и создала нужные файлы(рис. [-@fig:001])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и переход в каталог, создание файлов { #fig:001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Записала код во все файлы, затем проверила, на правильность написания (рис. [-@fig:002])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Редактирование файлов { #fig:002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Запустила Makefile (рис. [-@fig:003])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Запуск Makefile { #fig:003 width=70% 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Запустила программу (рис. [-@fig:004])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Запуск программы { #fig:004 width=70% }</w:t>
      </w:r>
    </w:p>
    <w:p>
      <w:pPr>
        <w:pBdr>
          <w:top w:val="single" w:sz="4" w:space="1" w:color="auto"/>
        </w:pBdr>
        <w:spacing w:before="399" w:after="173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131"/>
      </w:pPr>
      <w:r>
        <w:rPr>
          <w:sz w:val="22"/>
          <w:szCs w:val="22"/>
          <w:rFonts w:ascii="Times New Roman" w:hAnsi="Times New Roman" w:cs="Times New Roman"/>
        </w:rPr>
        <w:t xml:space="preserve">Я приобрела практические навыки работы с именованными каналами.</w:t>
      </w:r>
    </w:p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Контрольные вопросы</w:t>
      </w:r>
    </w:p>
    <w:p>
      <w:pPr>
        <w:ind w:firstLine="0" w:left="35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Именованные каналы отличаются от неименованных наличием идентификатора канала,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представлен как специальный файл (соответственно имя именованного канала — это имя файла).</w:t>
      </w:r>
    </w:p>
    <w:p>
      <w:pPr>
        <w:ind w:firstLine="0" w:left="62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Поскольку файл находится на локальной файловой системе, данное IPC используется внутри одной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системы.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2. Да, командой pipe.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5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Да, командой $ mkfifo имя_файла.</w:t>
      </w:r>
    </w:p>
    <w:p>
      <w:pPr>
        <w:sectPr>
          <w:pgSz w:w="11918" w:h="16826"/>
          <w:pgMar w:top="102" w:right="114" w:bottom="120" w:left="96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1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4. int read(int pipe_fd, void *area, int cnt); int write(int pipe_fd, void *area, int cnt); Первый аргумент этих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вызовов - дескриптор канала, второй - указатель на область памяти, с которой происходит обмен, третий 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количество байт. Оба вызова возвращают число переданных байт (или -1 - при ошибке).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firstLine="0" w:left="120" w:right="688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int mkfifo (const char *pathname, mode_t mode); Первый параметр — имя файла, идентифицирующего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канал, второй параметр маска прав доступа к файлу. Вызов функции mkfifo() создаёт файл канала (с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именем, заданным макросом FIFO_NAME): mkfifo(FIFO_NAME, 0600).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6. При чтении меньшего числа байтов, чем находится в канале, возвращается требуемое число байтов,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остаток сохраняется для последующих чтений. При чтении большего числа байтов, чем находится в канале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или FIFO возвращается доступное число байтов.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2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7. При записи большего числа байтов, чем это позволяет канал или FIFO, вызов write(2) блокируется до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освобождения требуемого места. При этом атомарность операции не гарантируется. Если процесс пытается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записать данные в канал, не открытый ни одним процессом на чтение, процессу генерируется сигнал.</w:t>
      </w:r>
    </w:p>
    <w:p>
      <w:pPr>
        <w:ind w:firstLine="0" w:left="39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Запись числа байтов, меньшего емкости канала или FIFO, гарантированно атомарно. Это означает, что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случае, когда несколько процессов одновременно записывают в канал, порции данных от этих процессов не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перемешиваются.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8. В общем случае возможна многонаправленная работа процессов с каналом, т.е. возможна ситуация, когда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одним и тем же каналом взаимодействуют два и более процесса, и каждый из взаимодействующих каналов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пишет и читает информацию в канал. Но традиционной схемой организации работы с каналом является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однонаправленная организация, когда канал связывает два, в большинстве случаев, или несколько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взаимодействующих процесса, каждый из которых может либо читать, либо писать в канал.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13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300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9.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10904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Функция записывает length байтов из буфера buffer в файл, определенный дескриптором файла fd. Эта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операция чисто 'двоичная' и без буферизации. Реализуется как непосредственный вызов DOS. С помощью</w:t>
            </w:r>
          </w:p>
        </w:tc>
      </w:tr>
      <w:tr>
        <w:tc>
          <w:tcPr>
            <w:tcW w:w="300" w:type="dxa"/>
          </w:tcPr>
          <w:p/>
        </w:tc>
        <w:tc>
          <w:tcPr>
            <w:tcW w:w="10904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функции write мы посылаем сообщение клиенту или серверу.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</w:tr>
      <w:tr>
        <w:tc>
          <w:tcPr>
            <w:tcW w:w="300" w:type="dxa"/>
          </w:tcPr>
          <w:p>
            <w:pPr>
              <w:jc w:val="right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10.</w:t>
            </w:r>
          </w:p>
        </w:tc>
        <w:tc>
          <w:tcPr>
            <w:tcW w:w="10904" w:type="dxa"/>
          </w:tcPr>
          <w:p>
            <w:pPr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Функция, транслирующая код ошибки, который обычно хранится в глобальной переменной errno, в</w:t>
            </w:r>
            <w:r>
              <w:t xml:space="preserve"> 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сообщение об ошибке, понятном человеку. Ошибки эти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sectPr>
      <w:pgSz w:w="11918" w:h="16826"/>
      <w:pgMar w:top="415" w:right="115" w:bottom="720" w:left="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2022-06-13T18:10:55</dcterms:created>
  <dcterms:modified xsi:type="dcterms:W3CDTF">2022-06-13T18:10:55</dcterms:modified>
</cp:coreProperties>
</file>