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outlineLvl w:val="0"/>
      </w:pPr>
      <w:r>
        <w:t xml:space="preserve">交通卡自动充值</w:t>
      </w:r>
    </w:p>
    <w:p>
      <w:pPr>
        <w:outlineLvl w:val="1"/>
      </w:pPr>
      <w:r>
        <w:t xml:space="preserve">交通卡自动充值 产品需求说明</w:t>
      </w:r>
    </w:p>
    <w:p>
      <w:r>
        <w:t xml:space="preserve">文档状态：草稿（尚未在需求系统归档，先以本文档为准）（v0.5 改版：单日充值上限由 200 元调整为 300 元，界面提示与端云协议一并同步；其余已定结论保持不变。）</w:t>
      </w:r>
    </w:p>
    <w:p>
      <w:r>
        <w:t xml:space="preserve">撰写：钱包产品组　　版本：v0.5</w:t>
      </w:r>
    </w:p>
    <w:p>
      <w:pPr>
        <w:outlineLvl w:val="2"/>
      </w:pPr>
      <w:r>
        <w:t xml:space="preserve">一、背景与目标</w:t>
      </w:r>
    </w:p>
    <w:p>
      <w:r>
        <w:t xml:space="preserve">交通卡余额用尽只有在闸机前才会被发现，用户被迫在人流中完成充值，是当前交通卡投诉量最高的场景。手工充值本身并不复杂，问题在于触发时机——用户没有理由在余额还够的时候主动打开钱包。</w:t>
      </w:r>
    </w:p>
    <w:p>
      <w:r>
        <w:t xml:space="preserve">本需求让用户一次签约之后，余额低于自己设定的门限时由系统自动完成充值，把「想起来充值」这件事从用户身上移走。</w:t>
      </w:r>
    </w:p>
    <w:p>
      <w:r>
        <w:rPr>
          <w:b/>
        </w:rPr>
        <w:t xml:space="preserve">目标：签约用户的闸机余额不足发生率下降到万分之五以下；签约转化率不低于交通卡月活的 8%。</w:t>
      </w:r>
    </w:p>
    <w:p>
      <w:pPr>
        <w:outlineLvl w:val="2"/>
      </w:pPr>
      <w:r>
        <w:t xml:space="preserve">二、参与方</w:t>
      </w:r>
    </w:p>
    <w:tbl>
      <w:tr>
        <w:tc>
          <w:p>
            <w:r>
              <w:t xml:space="preserve">参与方</w:t>
            </w:r>
          </w:p>
        </w:tc>
        <w:tc>
          <w:p>
            <w:r>
              <w:t xml:space="preserve">在本需求里做什么</w:t>
            </w:r>
          </w:p>
        </w:tc>
        <w:tc>
          <w:p>
            <w:r>
              <w:t xml:space="preserve">归属</w:t>
            </w:r>
          </w:p>
        </w:tc>
      </w:tr>
      <w:tr>
        <w:tc>
          <w:p>
            <w:r>
              <w:t xml:space="preserve">钱包客户端</w:t>
            </w:r>
          </w:p>
        </w:tc>
        <w:tc>
          <w:p>
            <w:r>
              <w:t xml:space="preserve">签约、免密验证、管理与记录展示</w:t>
            </w:r>
          </w:p>
        </w:tc>
        <w:tc>
          <w:p>
            <w:r>
              <w:t xml:space="preserve">本需求交付</w:t>
            </w:r>
          </w:p>
        </w:tc>
      </w:tr>
      <w:tr>
        <w:tc>
          <w:p>
            <w:r>
              <w:t xml:space="preserve">交通卡服务端</w:t>
            </w:r>
          </w:p>
        </w:tc>
        <w:tc>
          <w:p>
            <w:r>
              <w:t xml:space="preserve">余额上报、门限判定、扣款与写卡</w:t>
            </w:r>
          </w:p>
        </w:tc>
        <w:tc>
          <w:p>
            <w:r>
              <w:t xml:space="preserve">本需求交付</w:t>
            </w:r>
          </w:p>
        </w:tc>
      </w:tr>
      <w:tr>
        <w:tc>
          <w:p>
            <w:r>
              <w:t xml:space="preserve">支付免密服务</w:t>
            </w:r>
          </w:p>
        </w:tc>
        <w:tc>
          <w:p>
            <w:r>
              <w:t xml:space="preserve">签约态与单笔额度校验</w:t>
            </w:r>
          </w:p>
        </w:tc>
        <w:tc>
          <w:p>
            <w:r>
              <w:t xml:space="preserve">既有能力，只用不改</w:t>
            </w:r>
          </w:p>
        </w:tc>
      </w:tr>
      <w:tr>
        <w:tc>
          <w:p>
            <w:r>
              <w:t xml:space="preserve">运营管理台</w:t>
            </w:r>
          </w:p>
        </w:tc>
        <w:tc>
          <w:p>
            <w:r>
              <w:t xml:space="preserve">配置签约入口的功能开关</w:t>
            </w:r>
          </w:p>
        </w:tc>
        <w:tc>
          <w:p>
            <w:r>
              <w:rPr>
                <w:b/>
              </w:rPr>
              <w:t xml:space="preserve">属管理台，不属钱包端</w:t>
            </w:r>
            <w:r>
              <w:t xml:space="preserve">，本需求不交付它的页面</w:t>
            </w:r>
          </w:p>
        </w:tc>
      </w:tr>
    </w:tbl>
    <w:p>
      <w:pPr>
        <w:outlineLvl w:val="2"/>
      </w:pPr>
      <w:r>
        <w:t xml:space="preserve">三、用户旅程</w:t>
      </w:r>
    </w:p>
    <w:p>
      <w:r>
        <w:t xml:space="preserve">1. 用户在交通卡详情页看到「自动充值」入口，点击进入签约页；</w:t>
      </w:r>
    </w:p>
    <w:p>
      <w:r>
        <w:t xml:space="preserve">2. 用户选择触发门限（余额低于多少时充）与单笔面额，阅读并同意免密扣款协议；</w:t>
      </w:r>
    </w:p>
    <w:p>
      <w:r>
        <w:t xml:space="preserve">3. 首次签约要过一次免密验证，确认单笔额度；</w:t>
      </w:r>
    </w:p>
    <w:p>
      <w:r>
        <w:t xml:space="preserve">4. 签约完成，详情页显示「自动充值已开启」以及当前的门限与面额；</w:t>
      </w:r>
    </w:p>
    <w:p>
      <w:r>
        <w:t xml:space="preserve">5. 此后余额低于门限时系统自动完成充值，用户无需任何操作；</w:t>
      </w:r>
    </w:p>
    <w:p>
      <w:r>
        <w:t xml:space="preserve">6. 用户可以随时在同一入口查看充值记录、修改门限面额或关闭自动充值。</w:t>
      </w:r>
    </w:p>
    <w:p>
      <w:pPr>
        <w:outlineLvl w:val="2"/>
      </w:pPr>
      <w:r>
        <w:t xml:space="preserve">四、界面设计</w:t>
      </w:r>
    </w:p>
    <w:p>
      <w:r>
        <w:t xml:space="preserve">交通卡详情页上「自动充值」是一整行入口，余额行之下、充值记录之上（图 1）：</w:t>
      </w:r>
    </w:p>
    <w:p>
      <w:r>
        <w:drawing>
          <wp:inline distT="0" distB="0" distL="0" distR="0">
            <wp:extent cx="5486400" cy="2857500"/>
            <wp:docPr id="1" name="detail-entry.png"/>
            <a:graphic>
              <a:graphicData uri="http://schemas.openxmlformats.org/drawingml/2006/picture">
                <pic:pic>
                  <pic:nvPicPr>
                    <pic:cNvPr id="1" name="detail-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1　交通卡详情页的自动充值入口</w:t>
      </w:r>
    </w:p>
    <w:p>
      <w:r>
        <w:t xml:space="preserve">签约页门限与面额均为单选，协议勾选后「开启」按钮才可点击（图 2）：</w:t>
      </w:r>
    </w:p>
    <w:p>
      <w:r>
        <w:drawing>
          <wp:inline distT="0" distB="0" distL="0" distR="0">
            <wp:extent cx="5486400" cy="2857500"/>
            <wp:docPr id="1" name="signup-page.png"/>
            <a:graphic>
              <a:graphicData uri="http://schemas.openxmlformats.org/drawingml/2006/picture">
                <pic:pic>
                  <pic:nvPicPr>
                    <pic:cNvPr id="1" name="signup-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2　自动充值签约页</w:t>
      </w:r>
    </w:p>
    <w:p>
      <w:r>
        <w:t xml:space="preserve">首次签约要过一次免密验证，这一页要把单笔额度说清楚（图 3）：</w:t>
      </w:r>
    </w:p>
    <w:p>
      <w:r>
        <w:drawing>
          <wp:inline distT="0" distB="0" distL="0" distR="0">
            <wp:extent cx="5486400" cy="2857500"/>
            <wp:docPr id="1" name="verify-page.png"/>
            <a:graphic>
              <a:graphicData uri="http://schemas.openxmlformats.org/drawingml/2006/picture">
                <pic:pic>
                  <pic:nvPicPr>
                    <pic:cNvPr id="1" name="verify-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3　免密验证页</w:t>
      </w:r>
    </w:p>
    <w:p>
      <w:r>
        <w:t xml:space="preserve">开启后的管理页顶部为当前签约状态，下方为最近的自动充值记录，失败记录需要展示失败原因（图 4）：</w:t>
      </w:r>
    </w:p>
    <w:p>
      <w:r>
        <w:drawing>
          <wp:inline distT="0" distB="0" distL="0" distR="0">
            <wp:extent cx="5486400" cy="2857500"/>
            <wp:docPr id="1" name="manage-page.png"/>
            <a:graphic>
              <a:graphicData uri="http://schemas.openxmlformats.org/drawingml/2006/picture">
                <pic:pic>
                  <pic:nvPicPr>
                    <pic:cNvPr id="1" name="manage-p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4　自动充值管理页与记录列表</w:t>
      </w:r>
    </w:p>
    <w:p>
      <w:r>
        <w:t xml:space="preserve">连续扣款失败停用之后，管理页顶部换成停用横幅并给出失败原因（图 5）：</w:t>
      </w:r>
    </w:p>
    <w:p>
      <w:r>
        <w:drawing>
          <wp:inline distT="0" distB="0" distL="0" distR="0">
            <wp:extent cx="5486400" cy="2857500"/>
            <wp:docPr id="1" name="disabled-state.png"/>
            <a:graphic>
              <a:graphicData uri="http://schemas.openxmlformats.org/drawingml/2006/picture">
                <pic:pic>
                  <pic:nvPicPr>
                    <pic:cNvPr id="1" name="disabled-st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图 5　停用态</w:t>
      </w:r>
    </w:p>
    <w:p>
      <w:r>
        <w:t xml:space="preserve">两个页面的视觉规范沿用交通卡详情页现有样式，不新增控件类型。</w:t>
      </w:r>
    </w:p>
    <w:p>
      <w:pPr>
        <w:outlineLvl w:val="2"/>
      </w:pPr>
      <w:r>
        <w:t xml:space="preserve">五、附图（仅存档，非本需求交付内容）</w:t>
      </w:r>
    </w:p>
    <w:p>
      <w:r>
        <w:t xml:space="preserve">以下五张随稿留档，</w:t>
      </w:r>
      <w:r>
        <w:rPr>
          <w:b/>
        </w:rPr>
        <w:t xml:space="preserve">都不是本需求要做的页面</w:t>
      </w:r>
      <w:r>
        <w:t xml:space="preserve">，各自的原因写在图后。</w:t>
      </w:r>
    </w:p>
    <w:p>
      <w:r>
        <w:drawing>
          <wp:inline distT="0" distB="0" distL="0" distR="0">
            <wp:extent cx="5486400" cy="2857500"/>
            <wp:docPr id="1" name="signup-page-v0.1.png"/>
            <a:graphic>
              <a:graphicData uri="http://schemas.openxmlformats.org/drawingml/2006/picture">
                <pic:pic>
                  <pic:nvPicPr>
                    <pic:cNvPr id="1" name="signup-page-v0.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附图 A　v0.1 的签约页。门限当时用输入框，评审后改成四档单选——</w:t>
      </w:r>
      <w:r>
        <w:rPr>
          <w:b/>
        </w:rPr>
        <w:t xml:space="preserve">已废弃，留作对照</w:t>
      </w:r>
      <w:r>
        <w:t xml:space="preserve">，本需求按图 2 做。</w:t>
      </w:r>
    </w:p>
    <w:p>
      <w:r>
        <w:drawing>
          <wp:inline distT="0" distB="0" distL="0" distR="0">
            <wp:extent cx="5486400" cy="2857500"/>
            <wp:docPr id="1" name="signup-page-small.png"/>
            <a:graphic>
              <a:graphicData uri="http://schemas.openxmlformats.org/drawingml/2006/picture">
                <pic:pic>
                  <pic:nvPicPr>
                    <pic:cNvPr id="1" name="signup-page-sma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附图 B　图 2 那一页在小屏机型上的截图。</w:t>
      </w:r>
      <w:r>
        <w:rPr>
          <w:b/>
        </w:rPr>
        <w:t xml:space="preserve">同一个页面的不同分辨率</w:t>
      </w:r>
      <w:r>
        <w:t xml:space="preserve">，只作适配参考，不是另一个页面。</w:t>
      </w:r>
    </w:p>
    <w:p>
      <w:r>
        <w:drawing>
          <wp:inline distT="0" distB="0" distL="0" distR="0">
            <wp:extent cx="5486400" cy="2857500"/>
            <wp:docPr id="1" name="competitor-ref.png"/>
            <a:graphic>
              <a:graphicData uri="http://schemas.openxmlformats.org/drawingml/2006/picture">
                <pic:pic>
                  <pic:nvPicPr>
                    <pic:cNvPr id="1" name="competitor-re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附图 C　友商的三步向导式签约。</w:t>
      </w:r>
      <w:r>
        <w:rPr>
          <w:b/>
        </w:rPr>
        <w:t xml:space="preserve">本需求不采用</w:t>
      </w:r>
      <w:r>
        <w:t xml:space="preserve">这个交互，我们的签约在一屏内完成。</w:t>
      </w:r>
    </w:p>
    <w:p>
      <w:r>
        <w:drawing>
          <wp:inline distT="0" distB="0" distL="0" distR="0">
            <wp:extent cx="5486400" cy="2857500"/>
            <wp:docPr id="1" name="ops-console.png"/>
            <a:graphic>
              <a:graphicData uri="http://schemas.openxmlformats.org/drawingml/2006/picture">
                <pic:pic>
                  <pic:nvPicPr>
                    <pic:cNvPr id="1" name="ops-conso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附图 D　运营管理台里配置功能开关的页面。</w:t>
      </w:r>
      <w:r>
        <w:rPr>
          <w:b/>
        </w:rPr>
        <w:t xml:space="preserve">属管理台，不属钱包端</w:t>
      </w:r>
      <w:r>
        <w:t xml:space="preserve">（见「二、参与方」），本需求不交付它。</w:t>
      </w:r>
    </w:p>
    <w:p>
      <w:r>
        <w:drawing>
          <wp:inline distT="0" distB="0" distL="0" distR="0">
            <wp:extent cx="5486400" cy="2857500"/>
            <wp:docPr id="1" name="balance-alert.png"/>
            <a:graphic>
              <a:graphicData uri="http://schemas.openxmlformats.org/drawingml/2006/picture">
                <pic:pic>
                  <pic:nvPicPr>
                    <pic:cNvPr id="1" name="balance-ale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附图 E　交通卡余额提醒设置页。</w:t>
      </w:r>
      <w:r>
        <w:rPr>
          <w:b/>
        </w:rPr>
        <w:t xml:space="preserve">属 RR90007「交通卡余额提醒」，另单交付</w:t>
      </w:r>
      <w:r>
        <w:t xml:space="preserve">，与本需求无关，放在这里只因为它和自动充值都在交通卡详情页里。</w:t>
      </w:r>
    </w:p>
    <w:p>
      <w:pPr>
        <w:outlineLvl w:val="2"/>
      </w:pPr>
      <w:r>
        <w:t xml:space="preserve">六、业务流程</w:t>
      </w:r>
    </w:p>
    <w:p>
      <w:r>
        <w:t xml:space="preserve">自动充值的判定与扣款全部发生在服务端，用户侧无感。签约与管理这两条路径的流程图画在《交通卡自动充值 系统设计》里，本稿不重复。</w:t>
      </w:r>
    </w:p>
    <w:p>
      <w:r>
        <w:t xml:space="preserve">需要特别说明的是：判定的输入是服务端记录的余额，不是手机上显示的余额。用户离线刷卡后手机上的余额会长时间不准，按它判定会扣出用户预期之外的钱。</w:t>
      </w:r>
    </w:p>
    <w:p>
      <w:pPr>
        <w:outlineLvl w:val="2"/>
      </w:pPr>
      <w:r>
        <w:t xml:space="preserve">七、产品规则</w:t>
      </w:r>
    </w:p>
    <w:tbl>
      <w:tr>
        <w:tc>
          <w:p>
            <w:r>
              <w:t xml:space="preserve">规则项</w:t>
            </w:r>
          </w:p>
        </w:tc>
        <w:tc>
          <w:p>
            <w:r>
              <w:t xml:space="preserve">取值</w:t>
            </w:r>
          </w:p>
        </w:tc>
        <w:tc>
          <w:p>
            <w:r>
              <w:t xml:space="preserve">说明</w:t>
            </w:r>
          </w:p>
        </w:tc>
      </w:tr>
      <w:tr>
        <w:tc>
          <w:p>
            <w:r>
              <w:t xml:space="preserve">触发门限档位</w:t>
            </w:r>
          </w:p>
        </w:tc>
        <w:tc>
          <w:p>
            <w:r>
              <w:t xml:space="preserve">5 元 / 10 元 / 20 元 / 30 元</w:t>
            </w:r>
          </w:p>
        </w:tc>
        <w:tc>
          <w:p>
            <w:r>
              <w:t xml:space="preserve">用户签约时单选，签约后可修改</w:t>
            </w:r>
          </w:p>
        </w:tc>
      </w:tr>
      <w:tr>
        <w:tc>
          <w:p>
            <w:r>
              <w:t xml:space="preserve">单笔充值面额</w:t>
            </w:r>
          </w:p>
        </w:tc>
        <w:tc>
          <w:p>
            <w:r>
              <w:t xml:space="preserve">20 元 / 50 元 / 100 元</w:t>
            </w:r>
          </w:p>
        </w:tc>
        <w:tc>
          <w:p>
            <w:r>
              <w:t xml:space="preserve">用户签约时单选，签约后可修改</w:t>
            </w:r>
          </w:p>
        </w:tc>
      </w:tr>
      <w:tr>
        <w:tc>
          <w:p>
            <w:r>
              <w:t xml:space="preserve">单日充值上限</w:t>
            </w:r>
          </w:p>
        </w:tc>
        <w:tc>
          <w:p>
            <w:r>
              <w:t xml:space="preserve">300 元</w:t>
            </w:r>
          </w:p>
        </w:tc>
        <w:tc>
          <w:p>
            <w:r>
              <w:t xml:space="preserve">达到上限当日不再触发，次日零点恢复</w:t>
            </w:r>
          </w:p>
        </w:tc>
      </w:tr>
      <w:tr>
        <w:tc>
          <w:p>
            <w:r>
              <w:t xml:space="preserve">连续失败停用</w:t>
            </w:r>
          </w:p>
        </w:tc>
        <w:tc>
          <w:p>
            <w:r>
              <w:t xml:space="preserve">连续 3 次扣款失败自动停用</w:t>
            </w:r>
          </w:p>
        </w:tc>
        <w:tc>
          <w:p>
            <w:r>
              <w:t xml:space="preserve">停用后需用户重新签约，失败原因要能看到</w:t>
            </w:r>
          </w:p>
        </w:tc>
      </w:tr>
      <w:tr>
        <w:tc>
          <w:p>
            <w:r>
              <w:t xml:space="preserve">功能开关</w:t>
            </w:r>
          </w:p>
        </w:tc>
        <w:tc>
          <w:p>
            <w:r>
              <w:t xml:space="preserve">运营侧可关闭签约入口</w:t>
            </w:r>
          </w:p>
        </w:tc>
        <w:tc>
          <w:p>
            <w:r>
              <w:t xml:space="preserve">已经签约的用户不受影响，继续自动充值</w:t>
            </w:r>
          </w:p>
        </w:tc>
      </w:tr>
    </w:tbl>
    <w:p>
      <w:r>
        <w:t xml:space="preserve">免密扣款的单笔上限按用户选择的面额设置，不设置成固定值——用户选 20 元面额却签出 100 元的免密额度，是说不通的。</w:t>
      </w:r>
    </w:p>
    <w:p>
      <w:pPr>
        <w:outlineLvl w:val="2"/>
      </w:pPr>
      <w:r>
        <w:t xml:space="preserve">八、不做什么</w:t>
      </w:r>
    </w:p>
    <w:p>
      <w:r>
        <w:t xml:space="preserve">本期不做：按日期或按行程预约充值、多张卡共用一份签约、家庭成员代充。这三项都需要新的账户模型，不在本期范围。</w:t>
      </w:r>
    </w:p>
    <w:p>
      <w:pPr>
        <w:outlineLvl w:val="2"/>
      </w:pPr>
      <w:r>
        <w:t xml:space="preserve">九、验收意图</w:t>
      </w:r>
    </w:p>
    <w:p>
      <w:r>
        <w:t xml:space="preserve">· 未实名用户看不到签约入口，也无法通过任何路径完成签约；</w:t>
      </w:r>
    </w:p>
    <w:p>
      <w:r>
        <w:t xml:space="preserve">· 签约成功后余额低于门限时，用户不做任何操作即可完成充值，并能在记录里看到这笔；</w:t>
      </w:r>
    </w:p>
    <w:p>
      <w:r>
        <w:t xml:space="preserve">· 扣款连续失败三次后自动停用，用户打开管理页能看到停用状态与失败原因；</w:t>
      </w:r>
    </w:p>
    <w:p>
      <w:r>
        <w:t xml:space="preserve">· 关闭功能开关后新用户看不到入口，已签约用户的自动充值照常发生；</w:t>
      </w:r>
    </w:p>
    <w:p>
      <w:r>
        <w:t xml:space="preserve">· 充值记录中的卡号按现有规则脱敏展示。</w:t>
      </w:r>
    </w:p>
  </w:body>
</w:document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image" Target="media/detail-entry.png"/><Relationship Id="rId11" Type="http://schemas.openxmlformats.org/officeDocument/2006/relationships/image" Target="media/signup-page.png"/><Relationship Id="rId12" Type="http://schemas.openxmlformats.org/officeDocument/2006/relationships/image" Target="media/verify-page.png"/><Relationship Id="rId13" Type="http://schemas.openxmlformats.org/officeDocument/2006/relationships/image" Target="media/manage-page.png"/><Relationship Id="rId14" Type="http://schemas.openxmlformats.org/officeDocument/2006/relationships/image" Target="media/disabled-state.png"/><Relationship Id="rId15" Type="http://schemas.openxmlformats.org/officeDocument/2006/relationships/image" Target="media/signup-page-v0.1.png"/><Relationship Id="rId16" Type="http://schemas.openxmlformats.org/officeDocument/2006/relationships/image" Target="media/signup-page-small.png"/><Relationship Id="rId17" Type="http://schemas.openxmlformats.org/officeDocument/2006/relationships/image" Target="media/competitor-ref.png"/><Relationship Id="rId18" Type="http://schemas.openxmlformats.org/officeDocument/2006/relationships/image" Target="media/ops-console.png"/><Relationship Id="rId19" Type="http://schemas.openxmlformats.org/officeDocument/2006/relationships/image" Target="media/balance-alert.png"/></Relationships>
</file>