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2E74B5"/>
          <w:sz w:val="20"/>
        </w:rPr>
        <w:t>ТЕХНИЧЕСКАЯ СПРАВКА</w:t>
      </w:r>
    </w:p>
    <w:p>
      <w:pPr>
        <w:spacing w:after="100"/>
        <w:keepNext/>
      </w:pPr>
      <w:r>
        <w:rPr>
          <w:rFonts w:ascii="Calibri" w:hAnsi="Calibri"/>
          <w:b/>
          <w:color w:val="17365D"/>
          <w:sz w:val="46"/>
        </w:rPr>
        <w:t>Кейс 3: ИИ-агент</w:t>
        <w:br/>
        <w:t>индивидуальной траектории обучения</w:t>
      </w:r>
    </w:p>
    <w:p>
      <w:pPr>
        <w:spacing w:after="320"/>
      </w:pPr>
      <w:r>
        <w:rPr>
          <w:rFonts w:ascii="Calibri" w:hAnsi="Calibri"/>
          <w:color w:val="5B6573"/>
          <w:sz w:val="26"/>
        </w:rPr>
        <w:t>Аудит готовности · План работ для менеджера и разработки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20"/>
              </w:rPr>
              <w:t>Статус</w:t>
            </w:r>
          </w:p>
        </w:tc>
        <w:tc>
          <w:tcPr>
            <w:tcW w:type="dxa" w:w="7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Не готов к приёмке и живой демонстрации. Обязательны исправления P0 и контрольный прогон.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20"/>
              </w:rPr>
              <w:t>Основание</w:t>
            </w:r>
          </w:p>
        </w:tc>
        <w:tc>
          <w:tcPr>
            <w:tcW w:type="dxa" w:w="7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Требования кейса, распаковка, исходный код, конфигурация, реальные примеры данных, тестовые прогоны.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20"/>
              </w:rPr>
              <w:t>Дата проверки</w:t>
            </w:r>
          </w:p>
        </w:tc>
        <w:tc>
          <w:tcPr>
            <w:tcW w:type="dxa" w:w="7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20 августа 2026 г.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20"/>
              </w:rPr>
              <w:t>Назначение</w:t>
            </w:r>
          </w:p>
        </w:tc>
        <w:tc>
          <w:tcPr>
            <w:tcW w:type="dxa" w:w="76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20"/>
              </w:rPr>
              <w:t>Рабочий план для команды. Не является официальной экспертизой организатора.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21"/>
              </w:rPr>
              <w:t xml:space="preserve">РЕШЕНИЕ. </w:t>
            </w:r>
            <w:r>
              <w:rPr>
                <w:rFonts w:ascii="Calibri" w:hAnsi="Calibri"/>
                <w:color w:val="202124"/>
                <w:sz w:val="21"/>
              </w:rPr>
              <w:t>Не выводить текущую сборку на защиту как работающее решение. В offline-сценарии интерфейс падает, ai-driver не импортируется, а стандартное развертывание включает демонстрационный режим. Сначала закрыть P0, затем провести контрольное сравнение трёх групп моделей.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Что требует кейс</w:t>
      </w:r>
    </w:p>
    <w:p>
      <w:r>
        <w:rPr>
          <w:rFonts w:ascii="Calibri" w:hAnsi="Calibri"/>
          <w:color w:val="202124"/>
          <w:sz w:val="22"/>
        </w:rPr>
        <w:t>Цель — формировать для государственного гражданского служащего (ГГС) индивидуальную траекторию обучения ППК и ЭК по его должности, ИОГВ и истории обучения. Рекомендации должны опираться на опыт коллег с аналогичными должностью и ИОГВ, а уже пройденные программы не должны попадать в маршрут.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3810"/>
        <w:gridCol w:w="2500"/>
      </w:tblGrid>
      <w:tr>
        <w:trPr>
          <w:tblHeader w:val="true"/>
        </w:trPr>
        <w:tc>
          <w:tcPr>
            <w:tcW w:type="dxa" w:w="3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Блок</w:t>
            </w:r>
          </w:p>
        </w:tc>
        <w:tc>
          <w:tcPr>
            <w:tcW w:type="dxa" w:w="38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Обязательный результат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Что оценивается на 3 балла</w:t>
            </w:r>
          </w:p>
        </w:tc>
      </w:tr>
      <w:tr>
        <w:tc>
          <w:tcPr>
            <w:tcW w:type="dxa" w:w="30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Данные и рекомендации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Профиль ГГС, история ППК/ЭК и каталог; индивидуальная траектория с названиями и краткими описаниями программ.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Маршрут учитывает профиль, историю и опыт аналогичных коллег; выстроен последовательно; у каждого курса есть конкретное обоснование.</w:t>
            </w:r>
          </w:p>
        </w:tc>
      </w:tr>
      <w:tr>
        <w:tc>
          <w:tcPr>
            <w:tcW w:type="dxa" w:w="30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Три группы агентов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Отдельные варианты на российских, зарубежных и локальных моделях; запуск локально или на сервере.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Глубокое сравнение нескольких моделей по метрикам и обоснованный выбор.</w:t>
            </w:r>
          </w:p>
        </w:tc>
      </w:tr>
      <w:tr>
        <w:tc>
          <w:tcPr>
            <w:tcW w:type="dxa" w:w="30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Ввод / вывод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Вход: JSON, Excel, CSV, папки с файлами. Выход: JSON и Excel.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Контракты совпадают с интерфейсом, запуск воспроизводим, выгрузки содержат результат анализа.</w:t>
            </w:r>
          </w:p>
        </w:tc>
      </w:tr>
      <w:tr>
        <w:tc>
          <w:tcPr>
            <w:tcW w:type="dxa" w:w="30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Интерфейс и документы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Интуитивная траектория; описание ППК/ЭК. Документация проекта, инструкция пользователя и администратора.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Интерактивная схема с описанием курса при наведении и полный пакет инструкций.</w:t>
            </w:r>
          </w:p>
        </w:tc>
      </w:tr>
      <w:tr>
        <w:tc>
          <w:tcPr>
            <w:tcW w:type="dxa" w:w="30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Защита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Структурированный доклад и демонстрация.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Живое демо в реальном времени на конкретном кейсе и уверенные ответы по бизнес- и технической частям.</w:t>
            </w:r>
          </w:p>
        </w:tc>
      </w:tr>
    </w:tbl>
    <w:p>
      <w:pPr>
        <w:pStyle w:val="Heading1"/>
        <w:keepNext/>
      </w:pPr>
      <w:r>
        <w:t>2. Проверенные факты и предварительная оценка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Проверка</w:t>
            </w:r>
          </w:p>
        </w:tc>
        <w:tc>
          <w:tcPr>
            <w:tcW w:type="dxa" w:w="62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Факт и ограничение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Входные данные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В репозитории 221 курс, 323 обезличенных профиля, 1 314 записей обучения, 36 должностей и 60 ИОГВ. README заявляет 1 315 записей — есть расхождение, которое надо устранить.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Сборка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Release build ASP.NET backend проходит. Python compileall проходит, но фактический импорт ai-driver падает: в agent_manager.py не импортирован Optional.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Frontend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Production build проходит, но lint показывает ошибку JSX: AccessibilityToolbar используется без импорта. В браузере это подтверждено: App завершается ReferenceError и не рисует интерфейс.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Конфигурация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docker compose config валиден, но без ключей DeepSeek/GigaChat. Скрипты развёртывания создают .env с VITE_OFFLINE_MODE=true и удаляют volumes при обычном запуске.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Документация</w:t>
            </w:r>
          </w:p>
        </w:tc>
        <w:tc>
          <w:tcPr>
            <w:tcW w:type="dxa" w:w="62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Есть README и технический README frontend. Отдельных пользовательской и администраторской инструкций нет; README ссылается на agent.md, которого в репозитории нет.</w:t>
            </w:r>
          </w:p>
        </w:tc>
      </w:tr>
    </w:tbl>
    <w:p>
      <w:r>
        <w:rPr>
          <w:rFonts w:ascii="Calibri" w:hAnsi="Calibri"/>
          <w:b/>
          <w:color w:val="202124"/>
          <w:sz w:val="22"/>
        </w:rPr>
        <w:t xml:space="preserve">Оценка готовности. </w:t>
      </w:r>
      <w:r>
        <w:rPr>
          <w:rFonts w:ascii="Calibri" w:hAnsi="Calibri"/>
          <w:color w:val="202124"/>
          <w:sz w:val="22"/>
        </w:rPr>
        <w:t>Предварительный вывод по шкале организатора: доказательств для оценки выше 1 балла в каждой из пяти категорий сейчас нет; ориентир — не более 5/15. Главная причина — решение не проходит рабочий путь «запуск → агенты → маршрут → выгрузки».</w:t>
      </w:r>
    </w:p>
    <w:p>
      <w:pPr>
        <w:pStyle w:val="Heading1"/>
        <w:keepNext/>
      </w:pPr>
      <w:r>
        <w:t>3. Блокирующие доработки P0</w:t>
      </w:r>
    </w:p>
    <w:p>
      <w:r>
        <w:rPr>
          <w:rFonts w:ascii="Calibri" w:hAnsi="Calibri"/>
          <w:color w:val="202124"/>
          <w:sz w:val="22"/>
        </w:rPr>
        <w:t>P0 — условия, без которых нельзя проводить защиту, показывать демо или заявлять выполнение базовых требований кейса.</w:t>
      </w:r>
    </w:p>
    <w:p>
      <w:pPr>
        <w:pStyle w:val="Heading2"/>
        <w:keepNext/>
      </w:pPr>
      <w:r>
        <w:t>P0-01. Frontend не запускается из-за отсутствующего импорта AccessibilityToolbar.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Frontend не запускается из-за отсутствующего импорта AccessibilityToolbar.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Lint указывает react(jsx-no-undef), а browser smoke-test зафиксировал ReferenceError в App.jsx. Компонент вызывается, но не импортируется.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Добавить корректный import из components/AccessibilityToolbar; добавить runtime smoke-test в CI, который открывает корневой маршрут и проверяет отсутствие console error.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Vite dev и production-сборка открывают стартовый экран; console errors уровня error отсутствуют; доступна форма построения ИОТ.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P0-02. ai-driver не стартует: в type annotation используется Optional без импорта.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ai-driver не стартует: в type annotation используется Optional без импорта.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agent_manager.py импортирует только Dict, Any, List; аннотация _pick_fallback_course содержит Optional. Изолированный import модуля завершается NameError.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Импортировать Optional; добавить тест импорта main:app и контейнерный healthcheck, который проверяет /docs или /agents/catalog после старта.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python -c 'import main' проходит в образе; ai-driver отвечает 200 на /agents/catalog; docker compose ps показывает healthy.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P0-03. Стандартное развертывание включает offline-демо вместо реальной системы.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Стандартное развертывание включает offline-демо вместо реальной системы.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env_example.txt и оба deploy-скрипта задают VITE_OFFLINE_MODE=true. В api.js offline-ветка создаёт локальные токены и task_id без обращения к backend.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Поставить false по умолчанию. Demo оставить только явным профилем с заметной маркировкой, отдельными тестовыми данными и запретом на защитный сценарий.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Новая установка без изменений .env обращается к backend. При недоступном backend отображается ошибка, а не «сформированная» траектория.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P0-04. Контракт загрузки не соответствует кейсу и не формирует предсказуемый набор данных.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Контракт загрузки не соответствует кейсу и не формирует предсказуемый набор данных.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JSON передаётся в ветку CSV-парсера; папки не поддерживаются как сущность; после загрузки нескольких файлов ProcessAnalysisAsync выбирает только первого пользователя. ValidationService унаследован от кейса опросов и проверяет «полезность/практичность» вместо полей ИОТ.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Разделить History / Catalog / Profile; описать JSON Schema и заголовки Excel/CSV; реализовать импорт папки/ZIP, выбор конкретного профиля или batch-режим. Удалить проверку анкеты и ввести валидацию ИОТ.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Позитивные и негативные тесты проходят для JSON, XLSX, CSV и ZIP-папки. Набор из нескольких пользователей либо даёт маршрут каждому, либо требует явного выбора пользователя.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P0-05. Рекомендации не выполняют ключевое правило «аналогичная должность и ИОГВ» и ограничены частью каталога.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Рекомендации не выполняют ключевое правило «аналогичная должность и ИОГВ» и ограничены частью каталога.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Бенчмарк индексирован только по должности; department не участвует в _find_position_benchmark. Агенту передаётся только первые 40 доступных курсов из 221. Fallback подставляет общие этапы, радар и шаблонные обоснования.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Сформировать бенчмарк по паре должность+ИОГВ с правилами для малых групп. Ранжировать весь каталог детерминированной функцией; не выдумывать данные при недостатке фактов.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На контрольном профиле выбранные курсы не пройдены, оправданы фактической статистикой соответствующей пары «должность+ИОГВ», а все 221 курса доступны кандидату.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P0-06. Обязательные выгрузки и повторяемый запуск не подтверждены.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CEDE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B42318"/>
                <w:sz w:val="19"/>
              </w:rPr>
              <w:t>Проблема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Обязательные выгрузки и повторяемый запуск не подтверждены.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Подтверждение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exportReportToJson обращается к необъявленным a и url; псевдонимы DOCX/CSV фактически вызывают PDF/Excel. deploy scripts выполняют docker compose down -v и стирают БД. Название Qwen 3.5 не совпадает с загружаемым Qwen 2.5.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Решение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Исправить JSON blob/download; убрать ложные форматы или реализовать их отдельно. Обычный запуск не должен удалять данные; закрепить точную модель, имя файла, хеш и версию.</w:t>
            </w:r>
          </w:p>
        </w:tc>
      </w:tr>
      <w:tr>
        <w:tc>
          <w:tcPr>
            <w:tcW w:type="dxa" w:w="20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73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JSON валиден, XLSX открывается и содержит маршрут. Два штатных перезапуска сохраняют историю. Версия локальной модели подтверждена в логе и документации.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Доработки P1: качество, безопасность, поддерживаемость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90"/>
        <w:gridCol w:w="3300"/>
        <w:gridCol w:w="2270"/>
      </w:tblGrid>
      <w:tr>
        <w:trPr>
          <w:tblHeader w:val="true"/>
        </w:trPr>
        <w:tc>
          <w:tcPr>
            <w:tcW w:type="dxa" w:w="1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ID</w:t>
            </w:r>
          </w:p>
        </w:tc>
        <w:tc>
          <w:tcPr>
            <w:tcW w:type="dxa" w:w="26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Риск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Что сделать</w:t>
            </w:r>
          </w:p>
        </w:tc>
        <w:tc>
          <w:tcPr>
            <w:tcW w:type="dxa" w:w="22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Критерий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P1-01</w:t>
            </w:r>
          </w:p>
        </w:tc>
        <w:tc>
          <w:tcPr>
            <w:tcW w:type="dxa" w:w="26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Нет сравнения трёх групп моделей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Зафиксировать один test set, версии моделей, temperature, промпты и бюджет. Сравнить DeepSeek, GigaChat и Qwen по точности, отсутствию повторов, JSON-validity, времени и стоимости.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Есть Excel с результатами работы агентов и решение о модели на основе метрик.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P1-02</w:t>
            </w:r>
          </w:p>
        </w:tc>
        <w:tc>
          <w:tcPr>
            <w:tcW w:type="dxa" w:w="26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Шаблонные выводы и ложная уверенность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При малом числе коллег / невалидном ответе модели показывать статус «недостаточно данных», а не дефолтный радар, этапы и текстовое обоснование.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Каждая рекомендация имеет источник: профиль, история, идентификатор курса и агрегированная статистика.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P1-03</w:t>
            </w:r>
          </w:p>
        </w:tc>
        <w:tc>
          <w:tcPr>
            <w:tcW w:type="dxa" w:w="26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Персональные данные уходят к внешней модели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Не отправлять ФИО и идентификаторы в DeepSeek/GigaChat. Ввести псевдонимизацию до вызова LLM, режим локальной обработки и журнал согласия/конфигурации.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Сетевой payload не содержит ФИО и прямых идентификаторов; политика данных описана в документации.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P1-04</w:t>
            </w:r>
          </w:p>
        </w:tc>
        <w:tc>
          <w:tcPr>
            <w:tcW w:type="dxa" w:w="26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Код смешивает кейс 2 и кейс 3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Удалить legacy-логику опросов, mock reports и неиспользуемые обработчики; привести тексты, названия сервисов и схемы API к ИОТ.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Lint без ошибок; интерфейс не содержит «анализ отзывов студентов» в пользовательском сценарии ИОТ.</w:t>
            </w:r>
          </w:p>
        </w:tc>
      </w:tr>
      <w:tr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P1-05</w:t>
            </w:r>
          </w:p>
        </w:tc>
        <w:tc>
          <w:tcPr>
            <w:tcW w:type="dxa" w:w="26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Нет доказательств масштабирования и устойчивости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Добавить лимиты файлов, timeout/retry/cancel, очередь задач, метрики и нагрузочный smoke-test на выборке 15/50/100 пользователей.</w:t>
            </w:r>
          </w:p>
        </w:tc>
        <w:tc>
          <w:tcPr>
            <w:tcW w:type="dxa" w:w="227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Есть протокол прогона, логи и понятное поведение при недоступности провайдера/модели.</w:t>
            </w:r>
          </w:p>
        </w:tc>
      </w:tr>
    </w:tbl>
    <w:p>
      <w:pPr>
        <w:pStyle w:val="Heading1"/>
        <w:keepNext/>
      </w:pPr>
      <w:r>
        <w:t>5. Что делает разработка — порядок работ</w:t>
      </w:r>
    </w:p>
    <w:p>
      <w:r>
        <w:rPr>
          <w:rFonts w:ascii="Calibri" w:hAnsi="Calibri"/>
          <w:color w:val="202124"/>
          <w:sz w:val="22"/>
        </w:rPr>
        <w:t>Работы следует вести по зависимостям. Нельзя начинать с дизайна презентации или тонкой настройки промпта, пока не работает базовый запуск и нет достоверной выборки кандидатов.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Стабилизировать запуск: P0-01, P0-02, убрать offline по умолчанию, исправить deploy без -v, привести нейминг и secrets к кейсу 3.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Пересобрать контракты данных: отдельные схемы Profile, LearningHistory, CourseCatalog, ImportResult и Trajectory; поддержать JSON/XLSX/CSV/ZIP; добавить ясные ошибки валидации.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Реализовать прозрачный recommender: фильтр пройденных курсов, выбор когорты «должность+ИОГВ», правила малой выборки, ранжирование всех 221 курсов, evidence для каждого курса.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Подключить три группы агентов к одному контракту: строгий JSON Schema, retry для невалидного ответа, модель/версия в ответе и отключение фабрикации fallback-значений.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Исправить UI и выгрузки: интерактивный roadmap, экран источников/обоснований, JSON/XLSX, обязательный browser smoke-test, проверка доступности.</w:t>
      </w:r>
    </w:p>
    <w:p>
      <w:pPr>
        <w:pStyle w:val="ListNumber"/>
      </w:pPr>
      <w:r>
        <w:rPr>
          <w:rFonts w:ascii="Calibri" w:hAnsi="Calibri"/>
          <w:color w:val="202124"/>
          <w:sz w:val="22"/>
        </w:rPr>
        <w:t>Добавить тесты: import/startup, parser, ranking, исключение «Пройден», outputs, model comparison, Docker one-command deployment.</w:t>
      </w:r>
    </w:p>
    <w:p>
      <w:pPr>
        <w:pStyle w:val="Heading1"/>
        <w:keepNext/>
      </w:pPr>
      <w:r>
        <w:t>6. Что отдельно закрывает менеджер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70"/>
        <w:gridCol w:w="4500"/>
        <w:gridCol w:w="2390"/>
      </w:tblGrid>
      <w:tr>
        <w:trPr>
          <w:tblHeader w:val="true"/>
        </w:trPr>
        <w:tc>
          <w:tcPr>
            <w:tcW w:type="dxa" w:w="24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Блок</w:t>
            </w:r>
          </w:p>
        </w:tc>
        <w:tc>
          <w:tcPr>
            <w:tcW w:type="dxa" w:w="4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Действие менеджера</w:t>
            </w:r>
          </w:p>
        </w:tc>
        <w:tc>
          <w:tcPr>
            <w:tcW w:type="dxa" w:w="23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Готовый артефакт</w:t>
            </w:r>
          </w:p>
        </w:tc>
      </w:tr>
      <w:tr>
        <w:tc>
          <w:tcPr>
            <w:tcW w:type="dxa" w:w="247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Данные и правила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Утвердить каноническую схему данных и правило сопоставления «должность+ИОГВ». Решить, как работать с малой группой коллег: минимум N, расширение до должности или явный отказ от бенчмарка. Сверить расхождение 1 314/1 315 записей.</w:t>
            </w:r>
          </w:p>
        </w:tc>
        <w:tc>
          <w:tcPr>
            <w:tcW w:type="dxa" w:w="23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Data dictionary, правило fallback, обезличенный test set, владелец каждого источника.</w:t>
            </w:r>
          </w:p>
        </w:tc>
      </w:tr>
      <w:tr>
        <w:tc>
          <w:tcPr>
            <w:tcW w:type="dxa" w:w="247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Качество рекомендаций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Собрать 15–30 контрольных профилей и организовать экспертную разметку: допустимые курсы, запрещённые повторы, порядок обучения, приемлемое обоснование.</w:t>
            </w:r>
          </w:p>
        </w:tc>
        <w:tc>
          <w:tcPr>
            <w:tcW w:type="dxa" w:w="23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Excel-эталон для оценки трёх моделей и таблица метрик/выводов.</w:t>
            </w:r>
          </w:p>
        </w:tc>
      </w:tr>
      <w:tr>
        <w:tc>
          <w:tcPr>
            <w:tcW w:type="dxa" w:w="247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Модели и безопасность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Получить тестовые ключи/доступы, согласовать использование внешних моделей, локальный контур и PII-политику. Не выдавать ключи в репозиторий или презентацию.</w:t>
            </w:r>
          </w:p>
        </w:tc>
        <w:tc>
          <w:tcPr>
            <w:tcW w:type="dxa" w:w="23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Матрица провайдеров, версия модели, бюджет, согласованный режим обработки данных.</w:t>
            </w:r>
          </w:p>
        </w:tc>
      </w:tr>
      <w:tr>
        <w:tc>
          <w:tcPr>
            <w:tcW w:type="dxa" w:w="247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Документы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Назначить владельцев и проверить три обязательных документа: описание проекта, инструкция пользователя, инструкция администратора.</w:t>
            </w:r>
          </w:p>
        </w:tc>
        <w:tc>
          <w:tcPr>
            <w:tcW w:type="dxa" w:w="23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Готовые PDF/Markdown-инструкции, проверенные человеком вне команды разработки.</w:t>
            </w:r>
          </w:p>
        </w:tc>
      </w:tr>
      <w:tr>
        <w:tc>
          <w:tcPr>
            <w:tcW w:type="dxa" w:w="247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Приёмка</w:t>
            </w:r>
          </w:p>
        </w:tc>
        <w:tc>
          <w:tcPr>
            <w:tcW w:type="dxa" w:w="45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Вести checklist P0/P1, принимать каждую задачу только на демонстрации вход → расчёт → обоснование → JSON/XLSX. Зафиксировать запись эталонного прогона.</w:t>
            </w:r>
          </w:p>
        </w:tc>
        <w:tc>
          <w:tcPr>
            <w:tcW w:type="dxa" w:w="239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Протокол приёмки, ссылки на PR/тесты, папка материалов защиты.</w:t>
            </w:r>
          </w:p>
        </w:tc>
      </w:tr>
    </w:tbl>
    <w:p>
      <w:pPr>
        <w:pStyle w:val="Heading1"/>
        <w:keepNext/>
      </w:pPr>
      <w:r>
        <w:t>7. Презентация и защита — обязательны</w:t>
      </w:r>
    </w:p>
    <w:p>
      <w:r>
        <w:rPr>
          <w:rFonts w:ascii="Calibri" w:hAnsi="Calibri"/>
          <w:color w:val="202124"/>
          <w:sz w:val="22"/>
        </w:rPr>
        <w:t>В отличие от второго кейса, здесь презентация и защита прямо входят в критерии. Для 3 баллов нужен логичный доклад и живое демо на конкретном кейсе. Видеозапись — полезный резерв, но не замена живой демонстрации при возможности.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8060"/>
      </w:tblGrid>
      <w:tr>
        <w:trPr>
          <w:tblHeader w:val="true"/>
        </w:trP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Слайд</w:t>
            </w:r>
          </w:p>
        </w:tc>
        <w:tc>
          <w:tcPr>
            <w:tcW w:type="dxa" w:w="8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Содержание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1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Проблема и пользователь: ГГС, должность, ИОГВ, история обучения; почему нужен персональный маршрут.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2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Данные и правило качества: профиль + история + каталог + бенчмарки «должность+ИОГВ»; защита ПДн.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3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Архитектура: три роли агентов — аналитик компетенций, архитектор траектории, методолог-обоснователь.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4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Три технологических контура: GigaChat, DeepSeek, локальная Qwen; таблица сравнения по тестовому набору.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5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Живой сценарий: выбор профиля → исключение пройденных курсов → формирование маршрута.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6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Интерактивная ИОТ: три этапа, ППК/ЭК, краткое описание, обоснование, статистика коллег, radar только при реальных данных.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7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Доказательства качества: результаты экспертной проверки, отсутствие повторов, JSON/XLSX, время обработки.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8</w:t>
            </w:r>
          </w:p>
        </w:tc>
        <w:tc>
          <w:tcPr>
            <w:tcW w:type="dxa" w:w="80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Развёртывание и масштабирование: одна команда, локальный режим, документация, ограничения и следующий шаг.</w:t>
            </w:r>
          </w:p>
        </w:tc>
      </w:tr>
    </w:tbl>
    <w:p>
      <w:r>
        <w:rPr>
          <w:rFonts w:ascii="Calibri" w:hAnsi="Calibri"/>
          <w:color w:val="202124"/>
          <w:sz w:val="22"/>
        </w:rPr>
        <w:t>Рекомендуемый текст выступления: 5–6 минут. 40 секунд — проблема; 60 секунд — данные и логика; 90 секунд — архитектура и сравнение моделей; 90 секунд — живое демо; 40 секунд — результаты/развёртывание; 20 секунд — вывод. До защиты подготовить карточку ответов на вопросы о персональных данных, методе подбора, малых выборках и причинах выбора модели.</w:t>
      </w:r>
    </w:p>
    <w:p>
      <w:pPr>
        <w:pStyle w:val="Heading1"/>
        <w:keepNext/>
      </w:pPr>
      <w:r>
        <w:t>8. Release gate — когда можно выходить на защиту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Стартовый экран и ai-driver открываются без ошибок; реальный сценарий не включает offline/mock данные по умолчанию.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Один и тот же контрольный профиль обрабатывается из JSON, XLSX, CSV и ZIP-папки; ошибки формата понятны и не маскируются.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Ни один курс со статусом «Пройден» не рекомендован. Подбор учитывает именно сочетание должности и ИОГВ либо честно показывает ограничение данных.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Для рекомендации известны источник и обоснование; кандидатами являются все 221 курса, а не срез каталога.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JSON валиден, XLSX открывается и содержит маршрут, компетенции и бенчмарк. Нет ложных форматов DOCX/CSV.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На одном test set есть таблица сравнения GigaChat / DeepSeek / local Qwen, результат экспертной проверки и зафиксированные версии.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Развёртывание по инструкции не удаляет данные; есть user/admin guides и тестовый набор для демонстрации.</w:t>
      </w:r>
    </w:p>
    <w:p>
      <w:pPr>
        <w:pStyle w:val="ListBullet"/>
      </w:pPr>
      <w:r>
        <w:rPr>
          <w:rFonts w:ascii="Calibri" w:hAnsi="Calibri"/>
          <w:color w:val="202124"/>
          <w:sz w:val="22"/>
        </w:rPr>
        <w:t>Команда репетировала живое демо и подготовила резервную запись только как страховку.</w:t>
      </w:r>
    </w:p>
    <w:p>
      <w:pPr>
        <w:pStyle w:val="Heading1"/>
        <w:keepNext/>
      </w:pPr>
      <w:r>
        <w:t>Приложение. Участки кода для старта исправлений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60"/>
        <w:gridCol w:w="3100"/>
      </w:tblGrid>
      <w:tr>
        <w:trPr>
          <w:tblHeader w:val="true"/>
        </w:trP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Приоритет</w:t>
            </w:r>
          </w:p>
        </w:tc>
        <w:tc>
          <w:tcPr>
            <w:tcW w:type="dxa" w:w="4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Файл / участок</w:t>
            </w:r>
          </w:p>
        </w:tc>
        <w:tc>
          <w:tcPr>
            <w:tcW w:type="dxa" w:w="31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Действие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frontend/src/App.jsx:1–30, 1303, 1315, 1324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Добавить import AccessibilityToolbar; включить runtime smoke-test.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ai-driver/backend/agent_manager.py:5, 393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Импортировать Optional; тестировать import main:app, не только compileall.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env_example.txt:17; deploy.bat:26,45; deploy.sh:29,51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Не включать offline; убрать docker compose down -v из обычного запуска.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FileParser.cs:37–120, 122–184; ValidationService.cs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Разделить парсеры истории/каталога/JSON и заменить проверку анкеты кейса 2 на ИОТ-схему.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AnalysisService.cs:106–165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Не выбирать users.FirstOrDefault без явного batch/selection-режима.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agent_manager.py:49–63, 160, 227–328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Добавить ИОГВ в когорту, весь каталог и честный fallback без фабрикации.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P0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frontend/src/reportExport.js:276–287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Реализовать JSON download; убрать или реализовать DOCX/CSV алиасы.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02124"/>
                <w:sz w:val="19"/>
              </w:rPr>
              <w:t>P1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docker-compose.yml:8, 87; deploy scripts:35–43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02124"/>
                <w:sz w:val="19"/>
              </w:rPr>
              <w:t>Production окружение, секреты, точное имя/версия/хеш Qwen.</w:t>
            </w:r>
          </w:p>
        </w:tc>
      </w:tr>
    </w:tbl>
    <w:p>
      <w:pPr>
        <w:pStyle w:val="Heading1"/>
        <w:keepNext/>
      </w:pPr>
      <w:r>
        <w:t>Основания проверки</w:t>
      </w:r>
    </w:p>
    <w:p>
      <w:r>
        <w:rPr>
          <w:rFonts w:ascii="Calibri" w:hAnsi="Calibri"/>
          <w:color w:val="202124"/>
          <w:sz w:val="22"/>
        </w:rPr>
        <w:t>Требования: «II_agenty_IOT (1).pdf» и «Raspakovka_II_agenty_IOT (1).pdf». Технические материалы: репозиторий ai-education-mentor, конфигурация Docker, исходный код, примерные Excel-файлы и тестовые прогоны от 20.08.2026.</w:t>
      </w:r>
    </w:p>
    <w:p>
      <w:pPr>
        <w:spacing w:before="160" w:after="0"/>
      </w:pPr>
      <w:r>
        <w:rPr>
          <w:rFonts w:ascii="Calibri" w:hAnsi="Calibri"/>
          <w:i/>
          <w:color w:val="5B6573"/>
          <w:sz w:val="19"/>
        </w:rPr>
        <w:t>Важно: формальные документы требуют презентацию и демонстрацию. После закрытия P0 менеджеру нужно заказать отдельные слайды и текст выступления, опирающиеся только на подтверждённый рабочий сценарий.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B6573"/>
        <w:sz w:val="17"/>
      </w:rPr>
      <w:t xml:space="preserve">Внутренний рабочий документ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КЕЙС 3 · ТЕХНИЧЕСКАЯ СПРАВКА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