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48" w:type="dxa"/>
        <w:tblLook w:val="04A0" w:firstRow="1" w:lastRow="0" w:firstColumn="1" w:lastColumn="0" w:noHBand="0" w:noVBand="1"/>
      </w:tblPr>
      <w:tblGrid>
        <w:gridCol w:w="1369"/>
        <w:gridCol w:w="1833"/>
        <w:gridCol w:w="7290"/>
        <w:gridCol w:w="2456"/>
      </w:tblGrid>
      <w:tr w:rsidR="00C2256C" w14:paraId="1D26F17E" w14:textId="77777777" w:rsidTr="00C2256C">
        <w:tc>
          <w:tcPr>
            <w:tcW w:w="1369" w:type="dxa"/>
            <w:vAlign w:val="center"/>
          </w:tcPr>
          <w:p w14:paraId="358FB6D7" w14:textId="583AB394" w:rsidR="00C2256C" w:rsidRDefault="00C2256C" w:rsidP="00C2256C">
            <w:r w:rsidRPr="00C2256C">
              <w:rPr>
                <w:b/>
                <w:bCs/>
              </w:rPr>
              <w:t>Level</w:t>
            </w:r>
          </w:p>
        </w:tc>
        <w:tc>
          <w:tcPr>
            <w:tcW w:w="1833" w:type="dxa"/>
            <w:vAlign w:val="center"/>
          </w:tcPr>
          <w:p w14:paraId="65662CCC" w14:textId="5F080F94" w:rsidR="00C2256C" w:rsidRDefault="00C2256C" w:rsidP="00C2256C">
            <w:r w:rsidRPr="00C2256C">
              <w:rPr>
                <w:b/>
                <w:bCs/>
              </w:rPr>
              <w:t>Numeric value</w:t>
            </w:r>
          </w:p>
        </w:tc>
        <w:tc>
          <w:tcPr>
            <w:tcW w:w="7290" w:type="dxa"/>
            <w:vAlign w:val="center"/>
          </w:tcPr>
          <w:p w14:paraId="1BD16E05" w14:textId="534A804C" w:rsidR="00C2256C" w:rsidRDefault="00C2256C" w:rsidP="00C2256C">
            <w:r w:rsidRPr="00C2256C">
              <w:rPr>
                <w:b/>
                <w:bCs/>
              </w:rPr>
              <w:t>Typical use</w:t>
            </w:r>
          </w:p>
        </w:tc>
        <w:tc>
          <w:tcPr>
            <w:tcW w:w="2456" w:type="dxa"/>
            <w:vAlign w:val="center"/>
          </w:tcPr>
          <w:p w14:paraId="4C767C79" w14:textId="6C28D426" w:rsidR="00C2256C" w:rsidRDefault="00C2256C" w:rsidP="00C2256C">
            <w:r w:rsidRPr="00C2256C">
              <w:rPr>
                <w:b/>
                <w:bCs/>
              </w:rPr>
              <w:t>Traceback?</w:t>
            </w:r>
          </w:p>
        </w:tc>
      </w:tr>
      <w:tr w:rsidR="00C2256C" w14:paraId="6A3E9C64" w14:textId="77777777" w:rsidTr="00C2256C">
        <w:tc>
          <w:tcPr>
            <w:tcW w:w="1369" w:type="dxa"/>
            <w:vAlign w:val="center"/>
          </w:tcPr>
          <w:p w14:paraId="16E87BC6" w14:textId="755FAF43" w:rsidR="00C2256C" w:rsidRPr="00C2256C" w:rsidRDefault="00C2256C" w:rsidP="00C2256C">
            <w:pPr>
              <w:rPr>
                <w:rFonts w:ascii="Courier New" w:hAnsi="Courier New" w:cs="Courier New"/>
              </w:rPr>
            </w:pP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debug</w:t>
            </w:r>
          </w:p>
        </w:tc>
        <w:tc>
          <w:tcPr>
            <w:tcW w:w="1833" w:type="dxa"/>
            <w:vAlign w:val="center"/>
          </w:tcPr>
          <w:p w14:paraId="6FE1160C" w14:textId="72D3881C" w:rsidR="00C2256C" w:rsidRDefault="00C2256C" w:rsidP="00C2256C">
            <w:r w:rsidRPr="00C2256C">
              <w:t>10</w:t>
            </w:r>
          </w:p>
        </w:tc>
        <w:tc>
          <w:tcPr>
            <w:tcW w:w="7290" w:type="dxa"/>
            <w:vAlign w:val="center"/>
          </w:tcPr>
          <w:p w14:paraId="2917B043" w14:textId="3819943B" w:rsidR="00C2256C" w:rsidRDefault="00C2256C" w:rsidP="00C2256C">
            <w:r w:rsidRPr="00C2256C">
              <w:t>Fine-grained detail, useful only when actively troubleshooting (e.g., "requesting URL X with params Y")</w:t>
            </w:r>
          </w:p>
        </w:tc>
        <w:tc>
          <w:tcPr>
            <w:tcW w:w="2456" w:type="dxa"/>
            <w:vAlign w:val="center"/>
          </w:tcPr>
          <w:p w14:paraId="0CD1D562" w14:textId="4858713A" w:rsidR="00C2256C" w:rsidRDefault="00C2256C" w:rsidP="00C2256C">
            <w:r w:rsidRPr="00C2256C">
              <w:t>No</w:t>
            </w:r>
          </w:p>
        </w:tc>
      </w:tr>
      <w:tr w:rsidR="00C2256C" w14:paraId="2F7E48AE" w14:textId="77777777" w:rsidTr="00C2256C">
        <w:tc>
          <w:tcPr>
            <w:tcW w:w="1369" w:type="dxa"/>
            <w:vAlign w:val="center"/>
          </w:tcPr>
          <w:p w14:paraId="68F2B93D" w14:textId="03FC9717" w:rsidR="00C2256C" w:rsidRPr="00C2256C" w:rsidRDefault="00C2256C" w:rsidP="00C2256C">
            <w:pPr>
              <w:rPr>
                <w:rFonts w:ascii="Courier New" w:hAnsi="Courier New" w:cs="Courier New"/>
              </w:rPr>
            </w:pP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info</w:t>
            </w:r>
          </w:p>
        </w:tc>
        <w:tc>
          <w:tcPr>
            <w:tcW w:w="1833" w:type="dxa"/>
            <w:vAlign w:val="center"/>
          </w:tcPr>
          <w:p w14:paraId="42B953BE" w14:textId="0C3CF8BE" w:rsidR="00C2256C" w:rsidRDefault="00C2256C" w:rsidP="00C2256C">
            <w:r w:rsidRPr="00C2256C">
              <w:t>20</w:t>
            </w:r>
          </w:p>
        </w:tc>
        <w:tc>
          <w:tcPr>
            <w:tcW w:w="7290" w:type="dxa"/>
            <w:vAlign w:val="center"/>
          </w:tcPr>
          <w:p w14:paraId="5ACE8028" w14:textId="1A1F4B05" w:rsidR="00C2256C" w:rsidRDefault="00C2256C" w:rsidP="00C2256C">
            <w:r w:rsidRPr="00C2256C">
              <w:t>Routine, expected events worth recording but not concerning (e.g., "no records for 1958 — predates station")</w:t>
            </w:r>
          </w:p>
        </w:tc>
        <w:tc>
          <w:tcPr>
            <w:tcW w:w="2456" w:type="dxa"/>
            <w:vAlign w:val="center"/>
          </w:tcPr>
          <w:p w14:paraId="3F175A18" w14:textId="3D8DC8EC" w:rsidR="00C2256C" w:rsidRDefault="00C2256C" w:rsidP="00C2256C">
            <w:r w:rsidRPr="00C2256C">
              <w:t>No</w:t>
            </w:r>
          </w:p>
        </w:tc>
      </w:tr>
      <w:tr w:rsidR="00C2256C" w14:paraId="07D4D53D" w14:textId="77777777" w:rsidTr="00C2256C">
        <w:tc>
          <w:tcPr>
            <w:tcW w:w="1369" w:type="dxa"/>
            <w:vAlign w:val="center"/>
          </w:tcPr>
          <w:p w14:paraId="4D9B95F3" w14:textId="0361D1DE" w:rsidR="00C2256C" w:rsidRPr="00C2256C" w:rsidRDefault="00C2256C" w:rsidP="00C2256C">
            <w:pPr>
              <w:rPr>
                <w:rFonts w:ascii="Courier New" w:hAnsi="Courier New" w:cs="Courier New"/>
              </w:rPr>
            </w:pP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warning</w:t>
            </w:r>
          </w:p>
        </w:tc>
        <w:tc>
          <w:tcPr>
            <w:tcW w:w="1833" w:type="dxa"/>
            <w:vAlign w:val="center"/>
          </w:tcPr>
          <w:p w14:paraId="64D4621E" w14:textId="5ABCD3BD" w:rsidR="00C2256C" w:rsidRDefault="00C2256C" w:rsidP="00C2256C">
            <w:r w:rsidRPr="00C2256C">
              <w:t>30</w:t>
            </w:r>
          </w:p>
        </w:tc>
        <w:tc>
          <w:tcPr>
            <w:tcW w:w="7290" w:type="dxa"/>
            <w:vAlign w:val="center"/>
          </w:tcPr>
          <w:p w14:paraId="42C506BE" w14:textId="1913EC4E" w:rsidR="00C2256C" w:rsidRDefault="00C2256C" w:rsidP="00C2256C">
            <w:r w:rsidRPr="00C2256C">
              <w:t>Something unexpected or worth attention, but the program can continue normally</w:t>
            </w:r>
          </w:p>
        </w:tc>
        <w:tc>
          <w:tcPr>
            <w:tcW w:w="2456" w:type="dxa"/>
            <w:vAlign w:val="center"/>
          </w:tcPr>
          <w:p w14:paraId="1BA08BCE" w14:textId="2C5D1C5E" w:rsidR="00C2256C" w:rsidRDefault="00C2256C" w:rsidP="00C2256C">
            <w:r w:rsidRPr="00C2256C">
              <w:t>No</w:t>
            </w:r>
          </w:p>
        </w:tc>
      </w:tr>
      <w:tr w:rsidR="00C2256C" w14:paraId="632118CB" w14:textId="77777777" w:rsidTr="00C2256C">
        <w:tc>
          <w:tcPr>
            <w:tcW w:w="1369" w:type="dxa"/>
            <w:vAlign w:val="center"/>
          </w:tcPr>
          <w:p w14:paraId="6008476E" w14:textId="0B160630" w:rsidR="00C2256C" w:rsidRPr="00C2256C" w:rsidRDefault="00C2256C" w:rsidP="00C2256C">
            <w:pPr>
              <w:rPr>
                <w:rFonts w:ascii="Courier New" w:hAnsi="Courier New" w:cs="Courier New"/>
              </w:rPr>
            </w:pP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error</w:t>
            </w:r>
          </w:p>
        </w:tc>
        <w:tc>
          <w:tcPr>
            <w:tcW w:w="1833" w:type="dxa"/>
            <w:vAlign w:val="center"/>
          </w:tcPr>
          <w:p w14:paraId="38A92599" w14:textId="66F81037" w:rsidR="00C2256C" w:rsidRDefault="00C2256C" w:rsidP="00C2256C">
            <w:r w:rsidRPr="00C2256C">
              <w:t>40</w:t>
            </w:r>
          </w:p>
        </w:tc>
        <w:tc>
          <w:tcPr>
            <w:tcW w:w="7290" w:type="dxa"/>
            <w:vAlign w:val="center"/>
          </w:tcPr>
          <w:p w14:paraId="4C1421DE" w14:textId="5592F156" w:rsidR="00C2256C" w:rsidRDefault="00C2256C" w:rsidP="00C2256C">
            <w:r w:rsidRPr="00C2256C">
              <w:t>An operation failed</w:t>
            </w:r>
          </w:p>
        </w:tc>
        <w:tc>
          <w:tcPr>
            <w:tcW w:w="2456" w:type="dxa"/>
            <w:vAlign w:val="center"/>
          </w:tcPr>
          <w:p w14:paraId="3B641FD5" w14:textId="6E8A7C6D" w:rsidR="00C2256C" w:rsidRDefault="00C2256C" w:rsidP="00C2256C">
            <w:r w:rsidRPr="00C2256C">
              <w:t xml:space="preserve">No (unless you use </w:t>
            </w: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.exception()</w:t>
            </w:r>
            <w:r w:rsidR="004A1BA8">
              <w:t xml:space="preserve"> or </w:t>
            </w:r>
            <w:proofErr w:type="spellStart"/>
            <w:r w:rsidR="004A1BA8" w:rsidRPr="004A1BA8">
              <w:rPr>
                <w:rFonts w:ascii="Courier New" w:hAnsi="Courier New" w:cs="Courier New"/>
                <w:color w:val="BF4E14" w:themeColor="accent2" w:themeShade="BF"/>
              </w:rPr>
              <w:t>exc_info</w:t>
            </w:r>
            <w:proofErr w:type="spellEnd"/>
            <w:r w:rsidR="004A1BA8" w:rsidRPr="004A1BA8">
              <w:rPr>
                <w:rFonts w:ascii="Courier New" w:hAnsi="Courier New" w:cs="Courier New"/>
                <w:color w:val="BF4E14" w:themeColor="accent2" w:themeShade="BF"/>
              </w:rPr>
              <w:t>=True</w:t>
            </w:r>
            <w:r w:rsidR="004A1BA8">
              <w:t>)</w:t>
            </w:r>
          </w:p>
        </w:tc>
      </w:tr>
      <w:tr w:rsidR="004A1BA8" w14:paraId="36CDF5B3" w14:textId="77777777" w:rsidTr="00C2256C">
        <w:tc>
          <w:tcPr>
            <w:tcW w:w="1369" w:type="dxa"/>
            <w:vAlign w:val="center"/>
          </w:tcPr>
          <w:p w14:paraId="4EF068AD" w14:textId="3FEF22DF" w:rsidR="004A1BA8" w:rsidRPr="00C2256C" w:rsidRDefault="004A1BA8" w:rsidP="004A1BA8">
            <w:pPr>
              <w:rPr>
                <w:rFonts w:ascii="Courier New" w:hAnsi="Courier New" w:cs="Courier New"/>
              </w:rPr>
            </w:pP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critical</w:t>
            </w:r>
          </w:p>
        </w:tc>
        <w:tc>
          <w:tcPr>
            <w:tcW w:w="1833" w:type="dxa"/>
            <w:vAlign w:val="center"/>
          </w:tcPr>
          <w:p w14:paraId="77EC98CD" w14:textId="54199C74" w:rsidR="004A1BA8" w:rsidRDefault="004A1BA8" w:rsidP="004A1BA8">
            <w:r w:rsidRPr="00C2256C">
              <w:t>50</w:t>
            </w:r>
          </w:p>
        </w:tc>
        <w:tc>
          <w:tcPr>
            <w:tcW w:w="7290" w:type="dxa"/>
            <w:vAlign w:val="center"/>
          </w:tcPr>
          <w:p w14:paraId="4AAED626" w14:textId="7593F277" w:rsidR="004A1BA8" w:rsidRDefault="004A1BA8" w:rsidP="004A1BA8">
            <w:r w:rsidRPr="00C2256C">
              <w:t>Severe failure — the whole program may not be able to continue</w:t>
            </w:r>
          </w:p>
        </w:tc>
        <w:tc>
          <w:tcPr>
            <w:tcW w:w="2456" w:type="dxa"/>
            <w:vAlign w:val="center"/>
          </w:tcPr>
          <w:p w14:paraId="305A5C61" w14:textId="6E0D35B9" w:rsidR="004A1BA8" w:rsidRDefault="004A1BA8" w:rsidP="004A1BA8">
            <w:r w:rsidRPr="00C2256C">
              <w:t xml:space="preserve">No (unless you use </w:t>
            </w:r>
            <w:r w:rsidRPr="00C2256C">
              <w:rPr>
                <w:rFonts w:ascii="Courier New" w:hAnsi="Courier New" w:cs="Courier New"/>
                <w:color w:val="BF4E14" w:themeColor="accent2" w:themeShade="BF"/>
              </w:rPr>
              <w:t>.exception()</w:t>
            </w:r>
            <w:r>
              <w:t xml:space="preserve"> or </w:t>
            </w:r>
            <w:proofErr w:type="spellStart"/>
            <w:r w:rsidRPr="004A1BA8">
              <w:rPr>
                <w:rFonts w:ascii="Courier New" w:hAnsi="Courier New" w:cs="Courier New"/>
                <w:color w:val="BF4E14" w:themeColor="accent2" w:themeShade="BF"/>
              </w:rPr>
              <w:t>exc_info</w:t>
            </w:r>
            <w:proofErr w:type="spellEnd"/>
            <w:r w:rsidRPr="004A1BA8">
              <w:rPr>
                <w:rFonts w:ascii="Courier New" w:hAnsi="Courier New" w:cs="Courier New"/>
                <w:color w:val="BF4E14" w:themeColor="accent2" w:themeShade="BF"/>
              </w:rPr>
              <w:t>=True</w:t>
            </w:r>
            <w:r>
              <w:t>)</w:t>
            </w:r>
          </w:p>
        </w:tc>
      </w:tr>
    </w:tbl>
    <w:p w14:paraId="73D3E847" w14:textId="77777777" w:rsidR="00C2256C" w:rsidRPr="00C2256C" w:rsidRDefault="00C2256C" w:rsidP="00C2256C"/>
    <w:sectPr w:rsidR="00C2256C" w:rsidRPr="00C2256C" w:rsidSect="00C2256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15"/>
    <w:rsid w:val="000437C4"/>
    <w:rsid w:val="000637F7"/>
    <w:rsid w:val="001B5ADF"/>
    <w:rsid w:val="004A1BA8"/>
    <w:rsid w:val="00506C15"/>
    <w:rsid w:val="006509E5"/>
    <w:rsid w:val="006A643E"/>
    <w:rsid w:val="006B4971"/>
    <w:rsid w:val="00A814A7"/>
    <w:rsid w:val="00B042E3"/>
    <w:rsid w:val="00C2256C"/>
    <w:rsid w:val="00C6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3406"/>
  <w15:chartTrackingRefBased/>
  <w15:docId w15:val="{762724D5-EB82-4EC7-8329-365F5193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Hovdestad</dc:creator>
  <cp:keywords/>
  <dc:description/>
  <cp:lastModifiedBy>William Hovdestad</cp:lastModifiedBy>
  <cp:revision>2</cp:revision>
  <cp:lastPrinted>2026-08-27T17:41:00Z</cp:lastPrinted>
  <dcterms:created xsi:type="dcterms:W3CDTF">2026-08-26T23:07:00Z</dcterms:created>
  <dcterms:modified xsi:type="dcterms:W3CDTF">2026-08-27T18:17:00Z</dcterms:modified>
</cp:coreProperties>
</file>