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b/>
          <w:bCs/>
          <w:color w:val="4F46E5"/>
          <w:sz w:val="18"/>
          <w:szCs w:val="18"/>
        </w:rPr>
        <w:t xml:space="preserve">5471 WORK PAPER</w:t>
      </w:r>
    </w:p>
    <w:p>
      <w:pPr>
        <w:spacing w:after="60" w:before="120"/>
        <w:jc w:val="center"/>
      </w:pPr>
      <w:r>
        <w:rPr>
          <w:b/>
          <w:bCs/>
          <w:color w:val="13233F"/>
          <w:sz w:val="56"/>
          <w:szCs w:val="56"/>
        </w:rPr>
        <w:t xml:space="preserve">User Guide</w:t>
      </w:r>
    </w:p>
    <w:p>
      <w:pPr>
        <w:spacing w:after="400"/>
        <w:jc w:val="center"/>
      </w:pPr>
      <w:r>
        <w:rPr>
          <w:color w:val="66758C"/>
          <w:sz w:val="24"/>
          <w:szCs w:val="24"/>
        </w:rPr>
        <w:t xml:space="preserve">Populating the master template from client documents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10080"/>
      </w:tblGrid>
      <w:tr>
        <w:tc>
          <w:tcPr>
            <w:tcW w:type="dxa" w:w="10080"/>
            <w:shd w:fill="F7F9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0"/>
                <w:szCs w:val="20"/>
              </w:rPr>
              <w:t xml:space="preserve">The one rule that explains everything</w:t>
            </w:r>
          </w:p>
          <w:p>
            <w:pPr>
              <w:spacing w:after="40" w:line="264"/>
            </w:pPr>
            <w:r>
              <w:rPr>
                <w:color w:val="13233F"/>
                <w:sz w:val="19"/>
                <w:szCs w:val="19"/>
              </w:rPr>
              <w:t xml:space="preserve">You enter local currency. The template calculates US dollars.</w:t>
            </w:r>
          </w:p>
          <w:p>
            <w:pPr>
              <w:spacing w:after="40" w:line="264"/>
            </w:pPr>
            <w:r>
              <w:rPr>
                <w:color w:val="13233F"/>
                <w:sz w:val="19"/>
                <w:szCs w:val="19"/>
              </w:rPr>
              <w:t xml:space="preserve">The tool writes only the local-currency figures and three exchange rates. Every USD column, subtotal and cross-schedule link is your template's own formula. This is why a missing rate stops generation: =ROUND(D10/$G$6,0) with a blank G6 returns #DIV/0! in every USD cell.</w:t>
            </w:r>
          </w:p>
        </w:tc>
      </w:tr>
    </w:tbl>
    <w:p>
      <w:pPr>
        <w:spacing w:before="400"/>
      </w:pPr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1. The five-minute path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Everything else in the tool is review. This is the whole job: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3233F"/>
          <w:sz w:val="21"/>
          <w:szCs w:val="21"/>
        </w:rPr>
        <w:t xml:space="preserve">Entities &amp; documents — name the stakeholder and the 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3233F"/>
          <w:sz w:val="21"/>
          <w:szCs w:val="21"/>
        </w:rPr>
        <w:t xml:space="preserve">Drag the trial balance onto the 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3233F"/>
          <w:sz w:val="21"/>
          <w:szCs w:val="21"/>
        </w:rPr>
        <w:t xml:space="preserve">Press Process entity.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3233F"/>
          <w:sz w:val="21"/>
          <w:szCs w:val="21"/>
        </w:rPr>
        <w:t xml:space="preserve">Check the functional currency filled in (it usually auto-detects).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color w:val="13233F"/>
          <w:sz w:val="21"/>
          <w:szCs w:val="21"/>
        </w:rPr>
        <w:t xml:space="preserve">Generate.</w:t>
      </w:r>
    </w:p>
    <w:p>
      <w:pPr>
        <w:spacing w:after="60" w:before="1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58C"/>
          <w:sz w:val="17"/>
          <w:szCs w:val="17"/>
        </w:rPr>
        <w:t xml:space="preserve">Figure 1 — Entities &amp; documents. The working tab: add entities, upload, and process.</w:t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2. The 14 tabs</w:t>
      </w:r>
    </w:p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Tabs you act in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1900"/>
        <w:gridCol w:w="8180"/>
      </w:tblGrid>
      <w:tr>
        <w:trPr>
          <w:tblHeader/>
        </w:trPr>
        <w:tc>
          <w:tcPr>
            <w:tcW w:type="dxa" w:w="19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Tab</w:t>
            </w:r>
          </w:p>
        </w:tc>
        <w:tc>
          <w:tcPr>
            <w:tcW w:type="dxa" w:w="81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What you do here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03 Entities &amp; documents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The working tab. Add, rename and remove entities; upload documents; process; edit the profile, schedule lines and unmatched captions.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09 FX policy &amp; rates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Apply published rates, check a live rate, override a rate.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07 Ownership &amp; category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Ownership facts and filing categories, laid out for review.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11 Exception center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Fix everything outstanding across all entities in one place.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14 Settings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Mapping rules, Groq key, free service providers, quota dashboard.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Tabs you read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1900"/>
        <w:gridCol w:w="8180"/>
      </w:tblGrid>
      <w:tr>
        <w:trPr>
          <w:tblHeader/>
        </w:trPr>
        <w:tc>
          <w:tcPr>
            <w:tcW w:type="dxa" w:w="19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Tab</w:t>
            </w:r>
          </w:p>
        </w:tc>
        <w:tc>
          <w:tcPr>
            <w:tcW w:type="dxa" w:w="81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What it shows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01 Executive overview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Engagement totals, the nine-stage flow, output status.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02 Portfolio dashboard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All entities side by side. Open switches the active entity.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04 Entity workspace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Everything known about the active entity, plus its open issues.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05 Document intake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Every file loaded, which entity holds it, and how it was read.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06 Multilingual evidence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Each caption, its detected language, translation, and the line it fed.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08 Mapping &amp; adjustments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Which document caption produced each populated line.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10 Workpaper readiness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Blocking versus advisory findings. You can generate from here.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12 Audit trail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Every action with a timestamp. Exports as JSON.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13 Review &amp; sign-off</w:t>
            </w:r>
          </w:p>
        </w:tc>
        <w:tc>
          <w:tcPr>
            <w:tcW w:type="dxa" w:w="8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Final summary before approval.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Inside an entity: four sub-tabs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Expand an entity in Entities &amp; documents and you get: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2200"/>
        <w:gridCol w:w="7880"/>
      </w:tblGrid>
      <w:tr>
        <w:trPr>
          <w:tblHeader/>
        </w:trPr>
        <w:tc>
          <w:tcPr>
            <w:tcW w:type="dxa" w:w="22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Sub-tab</w:t>
            </w:r>
          </w:p>
        </w:tc>
        <w:tc>
          <w:tcPr>
            <w:tcW w:type="dxa" w:w="78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Contents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Documents</w:t>
            </w:r>
          </w:p>
        </w:tc>
        <w:tc>
          <w:tcPr>
            <w:tcW w:type="dxa" w:w="7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Drop zone, file list, Process entity, and the five processing stages.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Entity profile</w:t>
            </w:r>
          </w:p>
        </w:tc>
        <w:tc>
          <w:tcPr>
            <w:tcW w:type="dxa" w:w="7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Identity, period ends, currency, ownership, categories and FX rates.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Schedule lines</w:t>
            </w:r>
          </w:p>
        </w:tc>
        <w:tc>
          <w:tcPr>
            <w:tcW w:type="dxa" w:w="7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Every Schedule C and Schedule F line, editable, with its target cell.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Review &amp; log</w:t>
            </w:r>
          </w:p>
        </w:tc>
        <w:tc>
          <w:tcPr>
            <w:tcW w:type="dxa" w:w="7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Unmatched captions to assign, and the processing log.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3. One stakeholder, one entity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The normal case. One entity produces one .xlsx file.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3233F"/>
          <w:sz w:val="21"/>
          <w:szCs w:val="21"/>
        </w:rPr>
        <w:t xml:space="preserve">Entities &amp; documents — replace “New stakeholder” with the client name.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3233F"/>
          <w:sz w:val="21"/>
          <w:szCs w:val="21"/>
        </w:rPr>
        <w:t xml:space="preserve">Rename “Entity 1” to the foreign corporation.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3233F"/>
          <w:sz w:val="21"/>
          <w:szCs w:val="21"/>
        </w:rPr>
        <w:t xml:space="preserve">Drop the trial balance or financial statements onto the drop zone.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3233F"/>
          <w:sz w:val="21"/>
          <w:szCs w:val="21"/>
        </w:rPr>
        <w:t xml:space="preserve">Press Process entity. Captions map to Schedule C and F lines, and entity details fill themselves.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3233F"/>
          <w:sz w:val="21"/>
          <w:szCs w:val="21"/>
        </w:rPr>
        <w:t xml:space="preserve">Open Entity profile, confirm the fields marked auto, and fill any blanks. Setting the functional currency auto-fills all three exchange rates.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3233F"/>
          <w:sz w:val="21"/>
          <w:szCs w:val="21"/>
        </w:rPr>
        <w:t xml:space="preserve">Open Review &amp; log and assign anything unmatched.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color w:val="13233F"/>
          <w:sz w:val="21"/>
          <w:szCs w:val="21"/>
        </w:rPr>
        <w:t xml:space="preserve">Generate. You get 5471_Workpaper_&lt;Stakeholder&gt;_&lt;Entity&gt;.xlsx.</w:t>
      </w:r>
    </w:p>
    <w:p>
      <w:pPr>
        <w:pStyle w:val="Heading3"/>
        <w:spacing w:after="100" w:before="200"/>
      </w:pPr>
      <w:r>
        <w:rPr>
          <w:b/>
          <w:bCs/>
          <w:color w:val="4F46E5"/>
          <w:sz w:val="22"/>
          <w:szCs w:val="22"/>
        </w:rPr>
        <w:t xml:space="preserve">Which files can be read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3000"/>
        <w:gridCol w:w="7080"/>
      </w:tblGrid>
      <w:tr>
        <w:trPr>
          <w:tblHeader/>
        </w:trPr>
        <w:tc>
          <w:tcPr>
            <w:tcW w:type="dxa" w:w="30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Handling</w:t>
            </w:r>
          </w:p>
        </w:tc>
        <w:tc>
          <w:tcPr>
            <w:tcW w:type="dxa" w:w="70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Formats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F8A7B"/>
                <w:sz w:val="19"/>
                <w:szCs w:val="19"/>
              </w:rPr>
              <w:t xml:space="preserve">Parsed locally</w:t>
            </w:r>
          </w:p>
        </w:tc>
        <w:tc>
          <w:tcPr>
            <w:tcW w:type="dxa" w:w="7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.xlsx  .xlsm  .csv  .tsv  .txt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Accepted, needs AI extraction</w:t>
            </w:r>
          </w:p>
        </w:tc>
        <w:tc>
          <w:tcPr>
            <w:tcW w:type="dxa" w:w="7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.pdf  .png  .jpg  .docx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58C"/>
          <w:sz w:val="17"/>
          <w:szCs w:val="17"/>
        </w:rPr>
        <w:t xml:space="preserve">Figure 2 — Entity profile. Fields marked auto were read from the uploaded documents and stay editable.</w:t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4. One stakeholder, multiple entities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10080"/>
      </w:tblGrid>
      <w:tr>
        <w:tc>
          <w:tcPr>
            <w:tcW w:type="dxa" w:w="10080"/>
            <w:shd w:fill="F7F9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0"/>
                <w:szCs w:val="20"/>
              </w:rPr>
              <w:t xml:space="preserve">Entities never combine</w:t>
            </w:r>
          </w:p>
          <w:p>
            <w:pPr>
              <w:spacing w:after="40" w:line="264"/>
            </w:pPr>
            <w:r>
              <w:rPr>
                <w:color w:val="13233F"/>
                <w:sz w:val="19"/>
                <w:szCs w:val="19"/>
              </w:rPr>
              <w:t xml:space="preserve">Each entity is calculated completely separately. Form 5471 is filed per foreign corporation, so n entities produce n workbooks. There is no consolidation, by design.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3233F"/>
          <w:sz w:val="21"/>
          <w:szCs w:val="21"/>
        </w:rPr>
        <w:t xml:space="preserve">Set the stakeholder name once. It applies to every entity and writes to cell B3.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3233F"/>
          <w:sz w:val="21"/>
          <w:szCs w:val="21"/>
        </w:rPr>
        <w:t xml:space="preserve">Press + Add entity for each foreign corporation, and rename each one.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3233F"/>
          <w:sz w:val="21"/>
          <w:szCs w:val="21"/>
        </w:rPr>
        <w:t xml:space="preserve">Upload each entity's documents onto that entity's own drop zone. Documents never mix.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3233F"/>
          <w:sz w:val="21"/>
          <w:szCs w:val="21"/>
        </w:rPr>
        <w:t xml:space="preserve">Press Process entity on each one separately.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3233F"/>
          <w:sz w:val="21"/>
          <w:szCs w:val="21"/>
        </w:rPr>
        <w:t xml:space="preserve">Set each entity's own currency. They can differ, and each gets its own three rates.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3233F"/>
          <w:sz w:val="21"/>
          <w:szCs w:val="21"/>
        </w:rPr>
        <w:t xml:space="preserve">Clear each entity's unmatched captions.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color w:val="13233F"/>
          <w:sz w:val="21"/>
          <w:szCs w:val="21"/>
        </w:rPr>
        <w:t xml:space="preserve">Generate all for a .zip containing one full 19-sheet workbook per entity, or Generate on a single entity for just that one.</w:t>
      </w:r>
    </w:p>
    <w:p>
      <w:pPr>
        <w:pStyle w:val="Heading3"/>
        <w:spacing w:after="100" w:before="200"/>
      </w:pPr>
      <w:r>
        <w:rPr>
          <w:b/>
          <w:bCs/>
          <w:color w:val="4F46E5"/>
          <w:sz w:val="22"/>
          <w:szCs w:val="22"/>
        </w:rPr>
        <w:t xml:space="preserve">Switching between entities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Entity-scoped tabs always show the active entity. Change it with the entity chips at the top of the FX, evidence, mapping, ownership, readiness and sign-off tabs, or with Open on the Portfolio dashboard.</w:t>
      </w:r>
    </w:p>
    <w:p>
      <w:pPr>
        <w:pStyle w:val="Heading3"/>
        <w:spacing w:after="100" w:before="200"/>
      </w:pPr>
      <w:r>
        <w:rPr>
          <w:b/>
          <w:bCs/>
          <w:color w:val="4F46E5"/>
          <w:sz w:val="22"/>
          <w:szCs w:val="22"/>
        </w:rPr>
        <w:t xml:space="preserve">Side by side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2600"/>
        <w:gridCol w:w="3740"/>
        <w:gridCol w:w="3740"/>
      </w:tblGrid>
      <w:tr>
        <w:trPr>
          <w:tblHeader/>
        </w:trPr>
        <w:tc>
          <w:tcPr>
            <w:tcW w:type="dxa" w:w="26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/>
            </w:r>
          </w:p>
        </w:tc>
        <w:tc>
          <w:tcPr>
            <w:tcW w:type="dxa" w:w="374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Single entity</w:t>
            </w:r>
          </w:p>
        </w:tc>
        <w:tc>
          <w:tcPr>
            <w:tcW w:type="dxa" w:w="374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Multiple entities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Documents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pool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pool each, isolated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Processing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run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run each, independent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Currency and rates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set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set each, can differ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Validation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checklist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checklist each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Output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Single .xlsx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.zip, one workbook per entity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Consolidation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n/a</w:t>
            </w:r>
          </w:p>
        </w:tc>
        <w:tc>
          <w:tcPr>
            <w:tcW w:type="dxa" w:w="374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None — by design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5. What blocks generation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Only the three exchange rates. Everything else is advisory and lets you proceed.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5600"/>
        <w:gridCol w:w="1600"/>
        <w:gridCol w:w="2880"/>
      </w:tblGrid>
      <w:tr>
        <w:trPr>
          <w:tblHeader/>
        </w:trPr>
        <w:tc>
          <w:tcPr>
            <w:tcW w:type="dxa" w:w="56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Finding</w:t>
            </w:r>
          </w:p>
        </w:tc>
        <w:tc>
          <w:tcPr>
            <w:tcW w:type="dxa" w:w="16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Level</w:t>
            </w:r>
          </w:p>
        </w:tc>
        <w:tc>
          <w:tcPr>
            <w:tcW w:type="dxa" w:w="28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Blocks generation?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Average rate C59 missing, with income statement lines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block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Current year end rate C60 missing, with balance sheet lines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block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Prior year end rate C61 missing, with balance sheet lines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block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B91C1C"/>
                <w:sz w:val="19"/>
                <w:szCs w:val="19"/>
              </w:rPr>
              <w:t xml:space="preserve">Yes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 filing category selected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B45309"/>
                <w:sz w:val="19"/>
                <w:szCs w:val="19"/>
              </w:rPr>
              <w:t xml:space="preserve">advisory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Functional currency not set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B45309"/>
                <w:sz w:val="19"/>
                <w:szCs w:val="19"/>
              </w:rPr>
              <w:t xml:space="preserve">advisory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Current year end not set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B45309"/>
                <w:sz w:val="19"/>
                <w:szCs w:val="19"/>
              </w:rPr>
              <w:t xml:space="preserve">advisory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Unassigned captions remain</w:t>
            </w:r>
          </w:p>
        </w:tc>
        <w:tc>
          <w:tcPr>
            <w:tcW w:type="dxa" w:w="1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B45309"/>
                <w:sz w:val="19"/>
                <w:szCs w:val="19"/>
              </w:rPr>
              <w:t xml:space="preserve">advisory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</w:t>
            </w:r>
          </w:p>
        </w:tc>
      </w:tr>
    </w:tbl>
    <w:p>
      <w:pPr>
        <w:spacing w:after="120" w:line="276"/>
      </w:pPr>
      <w:r>
        <w:rPr>
          <w:b/>
          <w:bCs/>
          <w:color w:val="13233F"/>
          <w:sz w:val="21"/>
          <w:szCs w:val="21"/>
        </w:rPr>
        <w:t xml:space="preserve">Setting the functional currency normally clears all three blocks at once.</w:t>
      </w:r>
    </w:p>
    <w:p>
      <w:pPr>
        <w:spacing w:after="60" w:before="1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58C"/>
          <w:sz w:val="17"/>
          <w:szCs w:val="17"/>
        </w:rPr>
        <w:t xml:space="preserve">Figure 3 — Workpaper readiness. Blocking findings are always exchange rates.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6. What this tool calculates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The tool has a deliberately narrow arithmetic remit. It reads, maps, looks up and writes. Everything it does falls into these five jobs.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3000"/>
        <w:gridCol w:w="4300"/>
        <w:gridCol w:w="2780"/>
      </w:tblGrid>
      <w:tr>
        <w:trPr>
          <w:tblHeader/>
        </w:trPr>
        <w:tc>
          <w:tcPr>
            <w:tcW w:type="dxa" w:w="30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Job</w:t>
            </w:r>
          </w:p>
        </w:tc>
        <w:tc>
          <w:tcPr>
            <w:tcW w:type="dxa" w:w="43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What happens</w:t>
            </w:r>
          </w:p>
        </w:tc>
        <w:tc>
          <w:tcPr>
            <w:tcW w:type="dxa" w:w="27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Why it is safe to automate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Reading documents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Extracts label and value rows from .xlsx, .xlsm, .csv, .tsv, .txt and text-layer PDFs.</w:t>
            </w:r>
          </w:p>
        </w:tc>
        <w:tc>
          <w:tcPr>
            <w:tcW w:type="dxa" w:w="2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Mechanical. The values are transcribed, never derived.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Mapping captions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Binds each caption to a template line using deterministic keyword rules; the longest matching keyword wins.</w:t>
            </w:r>
          </w:p>
        </w:tc>
        <w:tc>
          <w:tcPr>
            <w:tcW w:type="dxa" w:w="2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Rules are visible and editable in Settings, and every binding is shown with its source caption.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Combining duplicates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Two captions bound to the same line are summed.</w:t>
            </w:r>
          </w:p>
        </w:tc>
        <w:tc>
          <w:tcPr>
            <w:tcW w:type="dxa" w:w="2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Addition only. No reclassification.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Normalising formats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Dates to the template's m/d/yy form; ownership 0.65 to 65; “Euro” to EUR.</w:t>
            </w:r>
          </w:p>
        </w:tc>
        <w:tc>
          <w:tcPr>
            <w:tcW w:type="dxa" w:w="2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Format conversion, not judgment. Values that cannot be trusted are rejected.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Rate lookup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Fetches the published IRS yearly average and US Treasury 12/31 spot rate for the currency and year.</w:t>
            </w:r>
          </w:p>
        </w:tc>
        <w:tc>
          <w:tcPr>
            <w:tcW w:type="dxa" w:w="2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A table lookup against published data, shown beside the value in use.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Writing cells</w:t>
            </w:r>
          </w:p>
        </w:tc>
        <w:tc>
          <w:tcPr>
            <w:tcW w:type="dxa" w:w="43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Writes the values into the template's designated input cells and flags the workbook to recalculate.</w:t>
            </w:r>
          </w:p>
        </w:tc>
        <w:tc>
          <w:tcPr>
            <w:tcW w:type="dxa" w:w="27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The workbook's own formulas then produce every derived figure.</w:t>
            </w:r>
          </w:p>
        </w:tc>
      </w:tr>
    </w:tbl>
    <w:p>
      <w:pPr>
        <w:spacing w:after="120" w:line="276"/>
      </w:pPr>
      <w:r>
        <w:rPr>
          <w:color w:val="13233F"/>
          <w:sz w:val="21"/>
          <w:szCs w:val="21"/>
        </w:rPr>
        <w:t xml:space="preserve">Notice what is absent from that list: no US-dollar figure, no subtotal, no tax computation. The tool populates inputs. The template computes.</w:t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7. What it does not calculate, and why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Each exclusion below is deliberate. They fall into three groups: arithmetic that belongs to your template, computations that require professional judgment, and data the documents simply do not contain.</w:t>
      </w:r>
    </w:p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7.1 Arithmetic that belongs to the template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3400"/>
        <w:gridCol w:w="3200"/>
        <w:gridCol w:w="3480"/>
      </w:tblGrid>
      <w:tr>
        <w:trPr>
          <w:tblHeader/>
        </w:trPr>
        <w:tc>
          <w:tcPr>
            <w:tcW w:type="dxa" w:w="34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Not calculated</w:t>
            </w:r>
          </w:p>
        </w:tc>
        <w:tc>
          <w:tcPr>
            <w:tcW w:type="dxa" w:w="32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Who does it</w:t>
            </w:r>
          </w:p>
        </w:tc>
        <w:tc>
          <w:tcPr>
            <w:tcW w:type="dxa" w:w="34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US dollar amounts on Schedules C and F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Template formulas dividing by C59, C60, C61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One source of truth. If the tool also computed USD, two answers would exist for the same cell and could disagree after any edit.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Gross profit, total income, total deductions, total assets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Template SUM formulas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These are your reviewed formulas. Overwriting them with static numbers would break the workbook for anyone who later changes an input.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Cross-schedule links (C to H, H to J, E to E-1)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Template formulas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The linkage encodes your firm's method. The tool must not silently restate it.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Rounding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Template ROUND(x,0)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Rounding at the wrong point changes totals. The template decides where it happens.</w:t>
            </w:r>
          </w:p>
        </w:tc>
      </w:tr>
    </w:tbl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10080"/>
      </w:tblGrid>
      <w:tr>
        <w:tc>
          <w:tcPr>
            <w:tcW w:type="dxa" w:w="10080"/>
            <w:shd w:fill="F7F9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4F46E5"/>
                <w:sz w:val="20"/>
                <w:szCs w:val="20"/>
              </w:rPr>
              <w:t xml:space="preserve">The practical consequence</w:t>
            </w:r>
          </w:p>
          <w:p>
            <w:pPr>
              <w:spacing w:after="40" w:line="264"/>
            </w:pPr>
            <w:r>
              <w:rPr>
                <w:color w:val="13233F"/>
                <w:sz w:val="19"/>
                <w:szCs w:val="19"/>
              </w:rPr>
              <w:t xml:space="preserve">Values are entered in local currency, exactly as reported, and are never pre-converted. If a USD column looks wrong, the cause is a rate in C59–C61, not the figure the tool wrote.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7.2 Computations requiring professional judgment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Not calculated</w:t>
            </w:r>
          </w:p>
        </w:tc>
        <w:tc>
          <w:tcPr>
            <w:tcW w:type="dxa" w:w="66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Filer category (1a–5c)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Category depends on ownership attribution, not arithmetic. A filer can hold 50% of the shares directly and still report 100% voting power through constructive ownership from a spouse. No parser can infer that from a share register, so the tool leaves the category boxes to you and only warns when none is ticked.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Book-to-tax adjustments (Schedule C column H)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Deciding that entertaining is disallowed, or that a provision is not yet deductible, is a judgment about tax law applied to a specific fact pattern. The tool writes book figures into column F and leaves column H for the preparer.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Earnings and profits (Schedule H)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E&amp;P is not book profit. It requires US-basis adjustments — depreciation method differences, disallowed items, prior-year balances — that are not present in a set of local statutory accounts.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Subpart F and GILTI (Schedules I, I-1, Q)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These require income to be characterised by category and tested against exceptions. Characterisation is a legal conclusion, not a lookup.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Foreign tax credit (Schedule E, E-1)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Creditability, splitter rules and high-tax kickout all turn on analysis of the foreign tax, not on the amount alone.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Previously taxed E&amp;P (Schedules J, P)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Requires opening balances by PTEP group from the prior year's workpaper, which the current-year documents do not contain.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Functional currency determination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Whether the currency is the functional currency, and whether DASTM applies, is a determination about the entity's economic environment.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Which schedules are required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This follows from the filer category, which is your determination.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7.3 Data the documents do not contain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Not calculated</w:t>
            </w:r>
          </w:p>
        </w:tc>
        <w:tc>
          <w:tcPr>
            <w:tcW w:type="dxa" w:w="66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Reason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Prior-year carryovers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Schedule J opening balances and foreign tax credit carryforwards come from last year's filed workpaper. Enter them by hand; the tool will not invent them.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Rates for non-calendar year ends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The bundled tables hold IRS yearly averages by calendar year and Treasury spot rates at 12/31. An entity with, say, a 30 April year end needs a rate at 30 April, which is in neither table. Auto-fill is skipped and you enter the rate you have determined.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Text in scanned PDFs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A scanned filing is an image. The tool reports that there is no text layer rather than guessing, because a silently empty extraction is worse than a clear refusal.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Consolidated figures across entities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Form 5471 is filed per foreign corporation. Combining entities would produce a workbook that matches no filing obligation.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7.4 Things it is not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It is not a tax return and does not file anything. The deliverable is a work paper.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It does not audit or verify your source documents. If the trial balance is wrong, the work paper is wrong.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It does not decide materiality, or whether a figure deserves investigation.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It does not replace review. Stage 08 of the flow is a human gate by design.</w:t>
      </w:r>
    </w:p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7.5 Where each schedule's numbers come from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3400"/>
        <w:gridCol w:w="3200"/>
        <w:gridCol w:w="3480"/>
      </w:tblGrid>
      <w:tr>
        <w:trPr>
          <w:tblHeader/>
        </w:trPr>
        <w:tc>
          <w:tcPr>
            <w:tcW w:type="dxa" w:w="34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Schedule</w:t>
            </w:r>
          </w:p>
        </w:tc>
        <w:tc>
          <w:tcPr>
            <w:tcW w:type="dxa" w:w="32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Populated by</w:t>
            </w:r>
          </w:p>
        </w:tc>
        <w:tc>
          <w:tcPr>
            <w:tcW w:type="dxa" w:w="34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Note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Basic Information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F8A7B"/>
                <w:sz w:val="19"/>
                <w:szCs w:val="19"/>
              </w:rPr>
              <w:t xml:space="preserve">Tool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Profile, ownership facts, categories you tick, exchange rates.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Schedule C — income statement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F8A7B"/>
                <w:sz w:val="19"/>
                <w:szCs w:val="19"/>
              </w:rPr>
              <w:t xml:space="preserve">Tool (column F)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Local currency only. USD column L is a template formula.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Schedule F — balance sheet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0F8A7B"/>
                <w:sz w:val="19"/>
                <w:szCs w:val="19"/>
              </w:rPr>
              <w:t xml:space="preserve">Tool (columns D, F)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Local currency only. USD columns G and H are template formulas.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Schedules E, E-1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B45309"/>
                <w:sz w:val="19"/>
                <w:szCs w:val="19"/>
              </w:rPr>
              <w:t xml:space="preserve">Preparer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Foreign taxes paid and their creditability.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Schedules H, J, P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B45309"/>
                <w:sz w:val="19"/>
                <w:szCs w:val="19"/>
              </w:rPr>
              <w:t xml:space="preserve">Preparer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E&amp;P and previously taxed E&amp;P, including prior-year balances.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Schedules I, I-1, Q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B45309"/>
                <w:sz w:val="19"/>
                <w:szCs w:val="19"/>
              </w:rPr>
              <w:t xml:space="preserve">Preparer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Subpart F, GILTI and income grouping.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Schedules G, M, R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B45309"/>
                <w:sz w:val="19"/>
                <w:szCs w:val="19"/>
              </w:rPr>
              <w:t xml:space="preserve">Preparer</w:t>
            </w:r>
          </w:p>
        </w:tc>
        <w:tc>
          <w:tcPr>
            <w:tcW w:type="dxa" w:w="3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Other information, related-party transactions, distributions.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3233F"/>
          <w:sz w:val="25"/>
          <w:szCs w:val="25"/>
        </w:rPr>
        <w:t xml:space="preserve">7.6 Known limits you will meet in practice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3400"/>
        <w:gridCol w:w="6680"/>
      </w:tblGrid>
      <w:tr>
        <w:trPr>
          <w:tblHeader/>
        </w:trPr>
        <w:tc>
          <w:tcPr>
            <w:tcW w:type="dxa" w:w="34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What you will see</w:t>
            </w:r>
          </w:p>
        </w:tc>
        <w:tc>
          <w:tcPr>
            <w:tcW w:type="dxa" w:w="66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Explanation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#DIV/0! on Schedule E and Entity Structure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Eleven such cells exist in the master template before the tool touches it. They divide by inputs a preparer supplies. The tool does not write to those cells and does not cause the errors.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A caption bound to the wrong line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Keyword rules are heuristics. Mapping &amp; adjustments shows the source caption behind every populated line so a wrong binding is visible in seconds, and the rule can be corrected in Settings.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More expense lines than the template has slots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The template exposes a fixed number of “other deduction” rows. Combine immaterial items, or map them to the nearest named line.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Ownership stated two ways</w:t>
            </w:r>
          </w:p>
        </w:tc>
        <w:tc>
          <w:tcPr>
            <w:tcW w:type="dxa" w:w="66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Item C voting percentage and the Schedule B pro rata share can legitimately differ where stock is attributed. Both come from you; the tool reconciles neither.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8. Exchange rates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Three divide rates: functional currency units per 1 USD.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2900"/>
        <w:gridCol w:w="1100"/>
        <w:gridCol w:w="3080"/>
        <w:gridCol w:w="3000"/>
      </w:tblGrid>
      <w:tr>
        <w:trPr>
          <w:tblHeader/>
        </w:trPr>
        <w:tc>
          <w:tcPr>
            <w:tcW w:type="dxa" w:w="29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Rate</w:t>
            </w:r>
          </w:p>
        </w:tc>
        <w:tc>
          <w:tcPr>
            <w:tcW w:type="dxa" w:w="11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Cell</w:t>
            </w:r>
          </w:p>
        </w:tc>
        <w:tc>
          <w:tcPr>
            <w:tcW w:type="dxa" w:w="30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Used by</w:t>
            </w:r>
          </w:p>
        </w:tc>
        <w:tc>
          <w:tcPr>
            <w:tcW w:type="dxa" w:w="30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Default source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Average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9"/>
                <w:szCs w:val="19"/>
              </w:rPr>
              <w:t xml:space="preserve">C59</w:t>
            </w:r>
          </w:p>
        </w:tc>
        <w:tc>
          <w:tcPr>
            <w:tcW w:type="dxa" w:w="3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Schedule C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IRS yearly average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Current year end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9"/>
                <w:szCs w:val="19"/>
              </w:rPr>
              <w:t xml:space="preserve">C60</w:t>
            </w:r>
          </w:p>
        </w:tc>
        <w:tc>
          <w:tcPr>
            <w:tcW w:type="dxa" w:w="3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Schedule F, end of year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US Treasury 12/31 spot</w:t>
            </w:r>
          </w:p>
        </w:tc>
      </w:tr>
      <w:tr>
        <w:tc>
          <w:tcPr>
            <w:tcW w:type="dxa" w:w="29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Prior year end</w:t>
            </w:r>
          </w:p>
        </w:tc>
        <w:tc>
          <w:tcPr>
            <w:tcW w:type="dxa" w:w="11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9"/>
                <w:szCs w:val="19"/>
              </w:rPr>
              <w:t xml:space="preserve">C61</w:t>
            </w:r>
          </w:p>
        </w:tc>
        <w:tc>
          <w:tcPr>
            <w:tcW w:type="dxa" w:w="30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Schedule F, beginning of year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US Treasury 12/31 spot</w:t>
            </w:r>
          </w:p>
        </w:tc>
      </w:tr>
    </w:tbl>
    <w:p>
      <w:pPr>
        <w:spacing w:after="120" w:line="276"/>
      </w:pPr>
      <w:r>
        <w:rPr>
          <w:color w:val="13233F"/>
          <w:sz w:val="21"/>
          <w:szCs w:val="21"/>
        </w:rPr>
        <w:t xml:space="preserve">151 currencies ship offline: averages 2017–2025 and spot rates 2016–2025. Apply published rates refills them. Check live rate fetches an indicative quote from OFX, then Frankfurter, then ExchangeRate-API; Override C60 applies it and records the change in the audit trail.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10080"/>
      </w:tblGrid>
      <w:tr>
        <w:tc>
          <w:tcPr>
            <w:tcW w:type="dxa" w:w="10080"/>
            <w:shd w:fill="F7F9F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B45309"/>
                <w:sz w:val="20"/>
                <w:szCs w:val="20"/>
              </w:rPr>
              <w:t xml:space="preserve">Published rates govern the work paper</w:t>
            </w:r>
          </w:p>
          <w:p>
            <w:pPr>
              <w:spacing w:after="40" w:line="264"/>
            </w:pPr>
            <w:r>
              <w:rPr>
                <w:color w:val="13233F"/>
                <w:sz w:val="19"/>
                <w:szCs w:val="19"/>
              </w:rPr>
              <w:t xml:space="preserve">Live quotes are indicative mid-market rates. Schedule C expects the IRS yearly average and Schedule F the US Treasury 12/31 spot rate. Live rates are supplemental, not a replacement.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58C"/>
          <w:sz w:val="17"/>
          <w:szCs w:val="17"/>
        </w:rPr>
        <w:t xml:space="preserve">Figure 4 — FX policy &amp; rates. Rates in use beside published values, with an optional live quote.</w:t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9. Where your data lands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5600"/>
        <w:gridCol w:w="4480"/>
      </w:tblGrid>
      <w:tr>
        <w:trPr>
          <w:tblHeader/>
        </w:trPr>
        <w:tc>
          <w:tcPr>
            <w:tcW w:type="dxa" w:w="56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Content</w:t>
            </w:r>
          </w:p>
        </w:tc>
        <w:tc>
          <w:tcPr>
            <w:tcW w:type="dxa" w:w="44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Template cells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Client, entity, addresses, activity, currency</w:t>
            </w:r>
          </w:p>
        </w:tc>
        <w:tc>
          <w:tcPr>
            <w:tcW w:type="dxa" w:w="4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8"/>
                <w:szCs w:val="18"/>
              </w:rPr>
              <w:t xml:space="preserve">Basic Information B1:B4, B11:B27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Ownership facts</w:t>
            </w:r>
          </w:p>
        </w:tc>
        <w:tc>
          <w:tcPr>
            <w:tcW w:type="dxa" w:w="4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8"/>
                <w:szCs w:val="18"/>
              </w:rPr>
              <w:t xml:space="preserve">Basic Information C33:C40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Filing categories 1a–5c</w:t>
            </w:r>
          </w:p>
        </w:tc>
        <w:tc>
          <w:tcPr>
            <w:tcW w:type="dxa" w:w="4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8"/>
                <w:szCs w:val="18"/>
              </w:rPr>
              <w:t xml:space="preserve">Basic Information B42:B50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Exchange rates</w:t>
            </w:r>
          </w:p>
        </w:tc>
        <w:tc>
          <w:tcPr>
            <w:tcW w:type="dxa" w:w="4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8"/>
                <w:szCs w:val="18"/>
              </w:rPr>
              <w:t xml:space="preserve">Basic Information C59:C61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Income statement, local currency</w:t>
            </w:r>
          </w:p>
        </w:tc>
        <w:tc>
          <w:tcPr>
            <w:tcW w:type="dxa" w:w="4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8"/>
                <w:szCs w:val="18"/>
              </w:rPr>
              <w:t xml:space="preserve">Income Statement F7:F59</w:t>
            </w:r>
          </w:p>
        </w:tc>
      </w:tr>
      <w:tr>
        <w:tc>
          <w:tcPr>
            <w:tcW w:type="dxa" w:w="5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Balance sheet, local currency</w:t>
            </w:r>
          </w:p>
        </w:tc>
        <w:tc>
          <w:tcPr>
            <w:tcW w:type="dxa" w:w="4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color w:val="13233F"/>
                <w:sz w:val="18"/>
                <w:szCs w:val="18"/>
              </w:rPr>
              <w:t xml:space="preserve">Balance Sheet D10:D62 and F10:F62</w:t>
            </w:r>
          </w:p>
        </w:tc>
      </w:tr>
    </w:tbl>
    <w:p>
      <w:pPr>
        <w:spacing w:after="120" w:line="276"/>
      </w:pPr>
      <w:r>
        <w:rPr>
          <w:color w:val="13233F"/>
          <w:sz w:val="21"/>
          <w:szCs w:val="21"/>
        </w:rPr>
        <w:t xml:space="preserve">Nothing else is touched. All 19 sheets, formulas, styling, merged ranges and hidden sheets survive intact.</w:t>
      </w:r>
    </w:p>
    <w:p>
      <w:pPr>
        <w:spacing w:after="60" w:before="1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58C"/>
          <w:sz w:val="17"/>
          <w:szCs w:val="17"/>
        </w:rPr>
        <w:t xml:space="preserve">Figure 5 — Mapping &amp; adjustments. Every populated line traced back to its source caption.</w:t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10. Auto-detection of entity details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Processing reads entity particulars from label and value pairs in your documents: legal name, addresses, country, formation date, business activity, books custodian, currency, period ends, ownership percentages, CFC facts and ticked categories.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Fills only blank fields — it never overwrites what you typed.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Each detected value carries an auto badge showing the caption it came from.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Type over it and the badge drops; the value becomes yours.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Untrustworthy values are rejected: non-numeric percentages, day counts over 366, unknown currency codes.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Works on .xlsx, .csv, .tsv and .txt only.</w:t>
      </w:r>
    </w:p>
    <w:p>
      <w:pPr>
        <w:pStyle w:val="Heading3"/>
        <w:spacing w:after="100" w:before="200"/>
      </w:pPr>
      <w:r>
        <w:rPr>
          <w:b/>
          <w:bCs/>
          <w:color w:val="4F46E5"/>
          <w:sz w:val="22"/>
          <w:szCs w:val="22"/>
        </w:rPr>
        <w:t xml:space="preserve">Trigger it with a header block above the trial balance</w:t>
      </w:r>
    </w:p>
    <w:p>
      <w:pPr>
        <w:spacing w:after="200"/>
      </w:pPr>
      <w:r>
        <w:rPr>
          <w:rFonts w:ascii="Consolas" w:cs="Consolas" w:eastAsia="Consolas" w:hAnsi="Consolas"/>
          <w:color w:val="13233F"/>
          <w:sz w:val="19"/>
          <w:szCs w:val="19"/>
        </w:rPr>
        <w:t xml:space="preserve">Legal Name of Entity,Brightwater Trading Limited</w:t>
      </w:r>
    </w:p>
    <w:p>
      <w:pPr>
        <w:spacing w:after="60"/>
      </w:pPr>
      <w:r>
        <w:rPr>
          <w:rFonts w:ascii="Consolas" w:cs="Consolas" w:eastAsia="Consolas" w:hAnsi="Consolas"/>
          <w:color w:val="13233F"/>
          <w:sz w:val="19"/>
          <w:szCs w:val="19"/>
        </w:rPr>
        <w:t xml:space="preserve">Country of Incorporation,United Kingdom</w:t>
      </w:r>
    </w:p>
    <w:p>
      <w:pPr>
        <w:spacing w:after="60"/>
      </w:pPr>
      <w:r>
        <w:rPr>
          <w:rFonts w:ascii="Consolas" w:cs="Consolas" w:eastAsia="Consolas" w:hAnsi="Consolas"/>
          <w:color w:val="13233F"/>
          <w:sz w:val="19"/>
          <w:szCs w:val="19"/>
        </w:rPr>
        <w:t xml:space="preserve">Functional currency,GBP</w:t>
      </w:r>
    </w:p>
    <w:p>
      <w:pPr>
        <w:spacing w:after="200"/>
      </w:pPr>
      <w:r>
        <w:rPr>
          <w:rFonts w:ascii="Consolas" w:cs="Consolas" w:eastAsia="Consolas" w:hAnsi="Consolas"/>
          <w:color w:val="13233F"/>
          <w:sz w:val="19"/>
          <w:szCs w:val="19"/>
        </w:rPr>
        <w:t xml:space="preserve">Ownership % at end of year,82.5</w:t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11. Free services</w:t>
      </w:r>
    </w:p>
    <w:p>
      <w:pPr>
        <w:spacing w:after="120" w:line="276"/>
      </w:pPr>
      <w:r>
        <w:rPr>
          <w:color w:val="13233F"/>
          <w:sz w:val="21"/>
          <w:szCs w:val="21"/>
        </w:rPr>
        <w:t xml:space="preserve">No account is required for translation or live rates. Providers fall through on failure, and usage meters reset daily.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2700"/>
        <w:gridCol w:w="3200"/>
        <w:gridCol w:w="4180"/>
      </w:tblGrid>
      <w:tr>
        <w:trPr>
          <w:tblHeader/>
        </w:trPr>
        <w:tc>
          <w:tcPr>
            <w:tcW w:type="dxa" w:w="27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Provider</w:t>
            </w:r>
          </w:p>
        </w:tc>
        <w:tc>
          <w:tcPr>
            <w:tcW w:type="dxa" w:w="32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Use</w:t>
            </w:r>
          </w:p>
        </w:tc>
        <w:tc>
          <w:tcPr>
            <w:tcW w:type="dxa" w:w="41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Free allowance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MyMemory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Translation</w:t>
            </w:r>
          </w:p>
        </w:tc>
        <w:tc>
          <w:tcPr>
            <w:tcW w:type="dxa" w:w="4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5,000 characters per day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Lingva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Translation fallback</w:t>
            </w:r>
          </w:p>
        </w:tc>
        <w:tc>
          <w:tcPr>
            <w:tcW w:type="dxa" w:w="4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None published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OFX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Live FX, tried first</w:t>
            </w:r>
          </w:p>
        </w:tc>
        <w:tc>
          <w:tcPr>
            <w:tcW w:type="dxa" w:w="4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None published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Frankfurter (ECB)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Live FX and historical</w:t>
            </w:r>
          </w:p>
        </w:tc>
        <w:tc>
          <w:tcPr>
            <w:tcW w:type="dxa" w:w="4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None published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ExchangeRate-API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Live FX, latest only</w:t>
            </w:r>
          </w:p>
        </w:tc>
        <w:tc>
          <w:tcPr>
            <w:tcW w:type="dxa" w:w="4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None published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Groq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Translation and mapping</w:t>
            </w:r>
          </w:p>
        </w:tc>
        <w:tc>
          <w:tcPr>
            <w:tcW w:type="dxa" w:w="41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Needs your own API key</w:t>
            </w:r>
          </w:p>
        </w:tc>
      </w:tr>
    </w:tbl>
    <w:p>
      <w:pPr>
        <w:spacing w:after="60" w:before="160"/>
        <w:jc w:val="center"/>
      </w:pPr>
      <w:r>
        <w:drawing>
          <wp:inline distT="0" distB="0" distL="0" distR="0">
            <wp:extent cx="60960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/>
        <w:jc w:val="center"/>
      </w:pPr>
      <w:r>
        <w:rPr>
          <w:i/>
          <w:iCs/>
          <w:color w:val="66758C"/>
          <w:sz w:val="17"/>
          <w:szCs w:val="17"/>
        </w:rPr>
        <w:t xml:space="preserve">Figure 6 — Settings, Free services. Provider status and daily quota.</w:t>
      </w:r>
    </w:p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12. Troubleshooting</w:t>
      </w:r>
    </w:p>
    <w:tbl>
      <w:tblPr>
        <w:tblW w:type="dxa" w:w="10080"/>
        <w:tblBorders>
          <w:top w:val="single" w:color="DBE3EF" w:sz="4"/>
          <w:left w:val="single" w:color="DBE3EF" w:sz="4"/>
          <w:bottom w:val="single" w:color="DBE3EF" w:sz="4"/>
          <w:right w:val="single" w:color="DBE3EF" w:sz="4"/>
          <w:insideH w:val="single" w:color="DBE3EF" w:sz="4"/>
          <w:insideV w:val="single" w:color="DBE3EF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Symptom</w:t>
            </w:r>
          </w:p>
        </w:tc>
        <w:tc>
          <w:tcPr>
            <w:tcW w:type="dxa" w:w="6480"/>
            <w:shd w:fill="F5F7FB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66758C"/>
                <w:sz w:val="17"/>
                <w:szCs w:val="17"/>
              </w:rPr>
              <w:t xml:space="preserve">Cause and fix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#DIV/0! in USD columns</w:t>
            </w:r>
          </w:p>
        </w:tc>
        <w:tc>
          <w:tcPr>
            <w:tcW w:type="dxa" w:w="6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A rate is blank. Set the functional currency, or use Apply published rates on the FX tab.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Generate is disabled or reads “Blocked”</w:t>
            </w:r>
          </w:p>
        </w:tc>
        <w:tc>
          <w:tcPr>
            <w:tcW w:type="dxa" w:w="6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A rate is missing. Workpaper readiness shows which one.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#DIV/0! on Schedule E or Entity Structure</w:t>
            </w:r>
          </w:p>
        </w:tc>
        <w:tc>
          <w:tcPr>
            <w:tcW w:type="dxa" w:w="6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Pre-existing in your template — those formulas divide by cells a preparer fills in. Not caused by the tool.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Numbers landed on the wrong line</w:t>
            </w:r>
          </w:p>
        </w:tc>
        <w:tc>
          <w:tcPr>
            <w:tcW w:type="dxa" w:w="6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Mapping &amp; adjustments shows the source caption. Adjust keywords in Settings, Tool configuration, or reassign in Review &amp; log.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Nothing extracted from a PDF</w:t>
            </w:r>
          </w:p>
        </w:tc>
        <w:tc>
          <w:tcPr>
            <w:tcW w:type="dxa" w:w="6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PDFs are not parsed locally. Enter the values by hand, or use Groq.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Live rate or translation fails</w:t>
            </w:r>
          </w:p>
        </w:tc>
        <w:tc>
          <w:tcPr>
            <w:tcW w:type="dxa" w:w="6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The page must be served over HTTPS, not file://. Check Settings, Free services for the error text.</w:t>
            </w:r>
          </w:p>
        </w:tc>
      </w:tr>
      <w:tr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b/>
                <w:bCs/>
                <w:color w:val="13233F"/>
                <w:sz w:val="19"/>
                <w:szCs w:val="19"/>
              </w:rPr>
              <w:t xml:space="preserve">Entity details did not auto-fill</w:t>
            </w:r>
          </w:p>
        </w:tc>
        <w:tc>
          <w:tcPr>
            <w:tcW w:type="dxa" w:w="648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after="0" w:line="252"/>
            </w:pPr>
            <w:r>
              <w:rPr>
                <w:color w:val="13233F"/>
                <w:sz w:val="19"/>
                <w:szCs w:val="19"/>
              </w:rPr>
              <w:t xml:space="preserve">Detection needs label and value pairs in a parseable file. Add a header block above the trial balance.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3233F"/>
          <w:sz w:val="30"/>
          <w:szCs w:val="30"/>
        </w:rPr>
        <w:t xml:space="preserve">13. Worth knowing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Nothing leaves your browser unless you click Translate or Check live rate. Documents are parsed locally and never uploaded.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Local currency only. Never pre-convert figures to US dollars.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The audit trail records every action and exports as JSON for the engagement file.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Work is held in the browser session — generate before closing the tab.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Deep links work: ?view=fx and ?view=entities open straight to a tab.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color w:val="13233F"/>
          <w:sz w:val="21"/>
          <w:szCs w:val="21"/>
        </w:rPr>
        <w:t xml:space="preserve">A Groq API key is optional, entered by each user, and never bundled into the file.</w:t>
      </w:r>
    </w:p>
    <w:p>
      <w:pPr>
        <w:spacing w:before="300"/>
      </w:pPr>
      <w:r>
        <w:rPr>
          <w:i/>
          <w:iCs/>
          <w:color w:val="66758C"/>
          <w:sz w:val="17"/>
          <w:szCs w:val="17"/>
        </w:rPr>
        <w:t xml:space="preserve">Figures in this guide are rendered illustrations of the interface, drawn from the application's own layout and colour values.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758C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3EF" w:sz="4" w:space="6"/>
      </w:pBdr>
      <w:jc w:val="right"/>
    </w:pPr>
    <w:r>
      <w:rPr>
        <w:color w:val="66758C"/>
        <w:sz w:val="16"/>
        <w:szCs w:val="16"/>
      </w:rPr>
      <w:t xml:space="preserve">5471 Work Paper — User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3233F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00be0a7497a7b7cfac03b4f3f71c3b66a4e515d8.png"/><Relationship Id="rId10" Type="http://schemas.openxmlformats.org/officeDocument/2006/relationships/image" Target="media/59ca2f420fa625f557d0c6574037e18b433e7ee5.png"/><Relationship Id="rId11" Type="http://schemas.openxmlformats.org/officeDocument/2006/relationships/image" Target="media/ee504875ca95aab8bc6a18ca0e427c22ca2c59a8.png"/><Relationship Id="rId12" Type="http://schemas.openxmlformats.org/officeDocument/2006/relationships/image" Target="media/f4951a480211854228cb86751ad740c705a0b3b6.png"/><Relationship Id="rId13" Type="http://schemas.openxmlformats.org/officeDocument/2006/relationships/image" Target="media/bae0100d037fb709a2b63940f0f51db3ac27b797.png"/><Relationship Id="rId14" Type="http://schemas.openxmlformats.org/officeDocument/2006/relationships/image" Target="media/31a9be47425f5fe588cfea0bbd52998bd97e9807.png"/><Relationship Id="rId15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5471 Work Paper — User Guide</dc:title>
  <dc:creator>5471 Work Paper</dc:creator>
  <dc:description>How to use the 5471 Work Paper tool</dc:description>
  <cp:lastModifiedBy>Un-named</cp:lastModifiedBy>
  <cp:revision>1</cp:revision>
  <dcterms:created xsi:type="dcterms:W3CDTF">2026-08-10T06:43:45.183Z</dcterms:created>
  <dcterms:modified xsi:type="dcterms:W3CDTF">2026-08-10T06:43:45.183Z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