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27896" w14:textId="77777777" w:rsidR="00AE2603" w:rsidRPr="00AE2603" w:rsidRDefault="00AE2603" w:rsidP="00AE2603">
      <w:pPr>
        <w:spacing w:after="0"/>
        <w:rPr>
          <w:b/>
          <w:bCs/>
          <w:sz w:val="28"/>
          <w:szCs w:val="28"/>
        </w:rPr>
      </w:pPr>
      <w:r w:rsidRPr="00AE2603">
        <w:rPr>
          <w:b/>
          <w:bCs/>
          <w:sz w:val="28"/>
          <w:szCs w:val="28"/>
        </w:rPr>
        <w:t>Summary Findings: New Condominium Apartment Price Indexes (2017–2024)</w:t>
      </w:r>
    </w:p>
    <w:p w14:paraId="3378DA93" w14:textId="77777777" w:rsidR="00AE2603" w:rsidRPr="00AE2603" w:rsidRDefault="00A53D4A" w:rsidP="00AE2603">
      <w:pPr>
        <w:spacing w:after="0"/>
      </w:pPr>
      <w:r w:rsidRPr="00AE2603">
        <w:rPr>
          <w:noProof/>
        </w:rPr>
        <w:pict w14:anchorId="04F8CB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660934" w14:textId="77777777" w:rsidR="00AE2603" w:rsidRPr="00B63D5F" w:rsidRDefault="00AE2603" w:rsidP="00AE2603">
      <w:pPr>
        <w:spacing w:after="0"/>
        <w:rPr>
          <w:b/>
          <w:bCs/>
          <w:sz w:val="28"/>
          <w:szCs w:val="28"/>
        </w:rPr>
      </w:pPr>
      <w:r w:rsidRPr="00AE2603">
        <w:rPr>
          <w:b/>
          <w:bCs/>
          <w:sz w:val="28"/>
          <w:szCs w:val="28"/>
        </w:rPr>
        <w:t>Key Trends Across Cities and Provinces:</w:t>
      </w:r>
    </w:p>
    <w:p w14:paraId="13194C19" w14:textId="77777777" w:rsidR="00DC5990" w:rsidRPr="00AE2603" w:rsidRDefault="00DC5990" w:rsidP="00AE2603">
      <w:pPr>
        <w:spacing w:after="0"/>
        <w:rPr>
          <w:b/>
          <w:bCs/>
          <w:sz w:val="24"/>
          <w:szCs w:val="24"/>
        </w:rPr>
      </w:pPr>
    </w:p>
    <w:p w14:paraId="6B7BD486" w14:textId="6D0C6575" w:rsidR="00AE2603" w:rsidRPr="00AE2603" w:rsidRDefault="00AE2603" w:rsidP="00A15801">
      <w:pPr>
        <w:spacing w:after="0"/>
        <w:ind w:firstLine="72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General Observations (2017–2024)</w:t>
      </w:r>
      <w:r w:rsidRPr="00AE2603">
        <w:rPr>
          <w:sz w:val="22"/>
          <w:szCs w:val="20"/>
        </w:rPr>
        <w:t xml:space="preserve">: </w:t>
      </w:r>
    </w:p>
    <w:p w14:paraId="08950135" w14:textId="77777777" w:rsidR="00AE2603" w:rsidRPr="00AE2603" w:rsidRDefault="00AE2603" w:rsidP="00E67D76">
      <w:pPr>
        <w:numPr>
          <w:ilvl w:val="1"/>
          <w:numId w:val="9"/>
        </w:numPr>
        <w:spacing w:after="0"/>
      </w:pPr>
      <w:r w:rsidRPr="00AE2603">
        <w:t>Cities experienced varying growth trends in condominium price indexes, influenced by local market dynamics.</w:t>
      </w:r>
    </w:p>
    <w:p w14:paraId="575C10B7" w14:textId="77777777" w:rsidR="00AE2603" w:rsidRPr="00AE2603" w:rsidRDefault="00AE2603" w:rsidP="00E67D76">
      <w:pPr>
        <w:numPr>
          <w:ilvl w:val="1"/>
          <w:numId w:val="9"/>
        </w:numPr>
        <w:spacing w:after="0"/>
      </w:pPr>
      <w:r w:rsidRPr="00AE2603">
        <w:t>Most cities saw price increases, while a few faced declines or fluctuations during the period.</w:t>
      </w:r>
    </w:p>
    <w:p w14:paraId="01FA1ABF" w14:textId="77777777" w:rsidR="00AE2603" w:rsidRPr="00AE2603" w:rsidRDefault="00A53D4A" w:rsidP="00AE2603">
      <w:pPr>
        <w:spacing w:after="0"/>
      </w:pPr>
      <w:r w:rsidRPr="00AE2603">
        <w:rPr>
          <w:noProof/>
        </w:rPr>
        <w:pict w14:anchorId="57B239D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E0B1D4" w14:textId="77777777" w:rsidR="00AE2603" w:rsidRPr="00AE2603" w:rsidRDefault="00AE2603" w:rsidP="00AE2603">
      <w:pPr>
        <w:spacing w:after="0"/>
        <w:rPr>
          <w:b/>
          <w:bCs/>
          <w:sz w:val="24"/>
          <w:szCs w:val="22"/>
        </w:rPr>
      </w:pPr>
      <w:r w:rsidRPr="00AE2603">
        <w:rPr>
          <w:b/>
          <w:bCs/>
          <w:sz w:val="24"/>
          <w:szCs w:val="22"/>
        </w:rPr>
        <w:t>Province and City-Specific Findings:</w:t>
      </w:r>
    </w:p>
    <w:p w14:paraId="311304CF" w14:textId="77777777" w:rsidR="00AE2603" w:rsidRPr="00AE2603" w:rsidRDefault="00AE2603" w:rsidP="00AE2603">
      <w:pPr>
        <w:spacing w:after="0"/>
        <w:rPr>
          <w:b/>
          <w:bCs/>
          <w:sz w:val="24"/>
          <w:szCs w:val="22"/>
        </w:rPr>
      </w:pPr>
      <w:r w:rsidRPr="00AE2603">
        <w:rPr>
          <w:b/>
          <w:bCs/>
          <w:sz w:val="24"/>
          <w:szCs w:val="22"/>
        </w:rPr>
        <w:t>Ontario</w:t>
      </w:r>
    </w:p>
    <w:p w14:paraId="41AC4E3E" w14:textId="77777777" w:rsidR="00AE2603" w:rsidRPr="00AE2603" w:rsidRDefault="00AE2603" w:rsidP="00AE2603">
      <w:pPr>
        <w:numPr>
          <w:ilvl w:val="0"/>
          <w:numId w:val="3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Ottawa</w:t>
      </w:r>
      <w:r w:rsidRPr="00AE2603">
        <w:rPr>
          <w:sz w:val="22"/>
          <w:szCs w:val="20"/>
        </w:rPr>
        <w:t xml:space="preserve">: </w:t>
      </w:r>
    </w:p>
    <w:p w14:paraId="0A428096" w14:textId="77777777" w:rsidR="00AE2603" w:rsidRPr="00AE2603" w:rsidRDefault="00AE2603" w:rsidP="00E67D76">
      <w:pPr>
        <w:numPr>
          <w:ilvl w:val="1"/>
          <w:numId w:val="10"/>
        </w:numPr>
        <w:spacing w:after="0"/>
      </w:pPr>
      <w:r w:rsidRPr="00AE2603">
        <w:t>Consistent growth throughout the period, increasing from 100 (2017) to 143 (2024) (43% growth).</w:t>
      </w:r>
    </w:p>
    <w:p w14:paraId="344BA8B9" w14:textId="77777777" w:rsidR="00AE2603" w:rsidRPr="00AE2603" w:rsidRDefault="00AE2603" w:rsidP="00E67D76">
      <w:pPr>
        <w:numPr>
          <w:ilvl w:val="1"/>
          <w:numId w:val="10"/>
        </w:numPr>
        <w:spacing w:after="0"/>
      </w:pPr>
      <w:r w:rsidRPr="00AE2603">
        <w:t>Strongest growth occurred between 2019 and 2020 (15.4% increase).</w:t>
      </w:r>
    </w:p>
    <w:p w14:paraId="55949DD1" w14:textId="77777777" w:rsidR="00AE2603" w:rsidRPr="00AE2603" w:rsidRDefault="00AE2603" w:rsidP="00AE2603">
      <w:pPr>
        <w:numPr>
          <w:ilvl w:val="0"/>
          <w:numId w:val="3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Toronto</w:t>
      </w:r>
      <w:r w:rsidRPr="00AE2603">
        <w:rPr>
          <w:sz w:val="22"/>
          <w:szCs w:val="20"/>
        </w:rPr>
        <w:t xml:space="preserve">: </w:t>
      </w:r>
    </w:p>
    <w:p w14:paraId="4177483F" w14:textId="77777777" w:rsidR="00AE2603" w:rsidRPr="00AE2603" w:rsidRDefault="00AE2603" w:rsidP="00E67D76">
      <w:pPr>
        <w:numPr>
          <w:ilvl w:val="1"/>
          <w:numId w:val="11"/>
        </w:numPr>
        <w:spacing w:after="0"/>
      </w:pPr>
      <w:r w:rsidRPr="00AE2603">
        <w:t>Moderate growth overall, rising from 100 (2017) to 136 (2024) (36% growth).</w:t>
      </w:r>
    </w:p>
    <w:p w14:paraId="181B7341" w14:textId="77777777" w:rsidR="00AE2603" w:rsidRPr="00AE2603" w:rsidRDefault="00AE2603" w:rsidP="00E67D76">
      <w:pPr>
        <w:numPr>
          <w:ilvl w:val="1"/>
          <w:numId w:val="11"/>
        </w:numPr>
        <w:spacing w:after="0"/>
      </w:pPr>
      <w:r w:rsidRPr="00AE2603">
        <w:t>Experienced a slight decline after 2022, dropping from 139 (2022) to 136 (2024).</w:t>
      </w:r>
    </w:p>
    <w:p w14:paraId="70213A56" w14:textId="77777777" w:rsidR="00AE2603" w:rsidRPr="00AE2603" w:rsidRDefault="00A53D4A" w:rsidP="00AE2603">
      <w:pPr>
        <w:spacing w:after="0"/>
      </w:pPr>
      <w:r w:rsidRPr="00AE2603">
        <w:rPr>
          <w:noProof/>
        </w:rPr>
        <w:pict w14:anchorId="6B63169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C7D826" w14:textId="77777777" w:rsidR="00AE2603" w:rsidRPr="00AE2603" w:rsidRDefault="00AE2603" w:rsidP="00AE2603">
      <w:pPr>
        <w:spacing w:after="0"/>
        <w:rPr>
          <w:b/>
          <w:bCs/>
          <w:sz w:val="24"/>
          <w:szCs w:val="22"/>
        </w:rPr>
      </w:pPr>
      <w:r w:rsidRPr="00AE2603">
        <w:rPr>
          <w:b/>
          <w:bCs/>
          <w:sz w:val="24"/>
          <w:szCs w:val="22"/>
        </w:rPr>
        <w:t>British Columbia</w:t>
      </w:r>
    </w:p>
    <w:p w14:paraId="1EBBFAA8" w14:textId="77777777" w:rsidR="00AE2603" w:rsidRPr="00AE2603" w:rsidRDefault="00AE2603" w:rsidP="00AE2603">
      <w:pPr>
        <w:numPr>
          <w:ilvl w:val="0"/>
          <w:numId w:val="4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Vancouver</w:t>
      </w:r>
      <w:r w:rsidRPr="00AE2603">
        <w:rPr>
          <w:sz w:val="22"/>
          <w:szCs w:val="20"/>
        </w:rPr>
        <w:t xml:space="preserve">: </w:t>
      </w:r>
    </w:p>
    <w:p w14:paraId="2C8BB222" w14:textId="77777777" w:rsidR="00AE2603" w:rsidRPr="00AE2603" w:rsidRDefault="00AE2603" w:rsidP="00E67D76">
      <w:pPr>
        <w:numPr>
          <w:ilvl w:val="1"/>
          <w:numId w:val="12"/>
        </w:numPr>
        <w:spacing w:after="0"/>
      </w:pPr>
      <w:r w:rsidRPr="00AE2603">
        <w:t>Moderate growth until 2022, peaking at 122.</w:t>
      </w:r>
    </w:p>
    <w:p w14:paraId="063D978D" w14:textId="77777777" w:rsidR="00AE2603" w:rsidRPr="00AE2603" w:rsidRDefault="00AE2603" w:rsidP="00E67D76">
      <w:pPr>
        <w:numPr>
          <w:ilvl w:val="1"/>
          <w:numId w:val="12"/>
        </w:numPr>
        <w:spacing w:after="0"/>
      </w:pPr>
      <w:r w:rsidRPr="00AE2603">
        <w:t>Declined slightly to 118 (2024), showing 18% overall growth from 2017.</w:t>
      </w:r>
    </w:p>
    <w:p w14:paraId="03EB9D7F" w14:textId="77777777" w:rsidR="00AE2603" w:rsidRPr="00AE2603" w:rsidRDefault="00AE2603" w:rsidP="00AE2603">
      <w:pPr>
        <w:numPr>
          <w:ilvl w:val="0"/>
          <w:numId w:val="4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Victoria</w:t>
      </w:r>
      <w:r w:rsidRPr="00AE2603">
        <w:rPr>
          <w:sz w:val="22"/>
          <w:szCs w:val="20"/>
        </w:rPr>
        <w:t xml:space="preserve">: </w:t>
      </w:r>
    </w:p>
    <w:p w14:paraId="0105B721" w14:textId="77777777" w:rsidR="00AE2603" w:rsidRPr="00AE2603" w:rsidRDefault="00AE2603" w:rsidP="00E67D76">
      <w:pPr>
        <w:numPr>
          <w:ilvl w:val="1"/>
          <w:numId w:val="13"/>
        </w:numPr>
        <w:spacing w:after="0"/>
      </w:pPr>
      <w:r w:rsidRPr="00AE2603">
        <w:t>Significant growth until 2022, peaking at 145.</w:t>
      </w:r>
    </w:p>
    <w:p w14:paraId="534F23FC" w14:textId="77777777" w:rsidR="00AE2603" w:rsidRPr="00AE2603" w:rsidRDefault="00AE2603" w:rsidP="00E67D76">
      <w:pPr>
        <w:numPr>
          <w:ilvl w:val="1"/>
          <w:numId w:val="13"/>
        </w:numPr>
        <w:spacing w:after="0"/>
      </w:pPr>
      <w:r w:rsidRPr="00AE2603">
        <w:t>Declined to 137 (2024), with a 37% overall increase.</w:t>
      </w:r>
    </w:p>
    <w:p w14:paraId="1E2460D4" w14:textId="77777777" w:rsidR="00AE2603" w:rsidRPr="00AE2603" w:rsidRDefault="00A53D4A" w:rsidP="00AE2603">
      <w:pPr>
        <w:spacing w:after="0"/>
      </w:pPr>
      <w:r w:rsidRPr="00AE2603">
        <w:rPr>
          <w:noProof/>
        </w:rPr>
        <w:pict w14:anchorId="5367C0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A361A1" w14:textId="77777777" w:rsidR="00AE2603" w:rsidRPr="00AE2603" w:rsidRDefault="00AE2603" w:rsidP="00AE2603">
      <w:pPr>
        <w:spacing w:after="0"/>
        <w:rPr>
          <w:b/>
          <w:bCs/>
          <w:sz w:val="24"/>
          <w:szCs w:val="22"/>
        </w:rPr>
      </w:pPr>
      <w:r w:rsidRPr="00AE2603">
        <w:rPr>
          <w:b/>
          <w:bCs/>
          <w:sz w:val="24"/>
          <w:szCs w:val="22"/>
        </w:rPr>
        <w:t>Quebec</w:t>
      </w:r>
    </w:p>
    <w:p w14:paraId="3AE55BAB" w14:textId="77777777" w:rsidR="00AE2603" w:rsidRPr="00AE2603" w:rsidRDefault="00AE2603" w:rsidP="00AE2603">
      <w:pPr>
        <w:numPr>
          <w:ilvl w:val="0"/>
          <w:numId w:val="5"/>
        </w:numPr>
        <w:spacing w:after="0"/>
      </w:pPr>
      <w:r w:rsidRPr="00AE2603">
        <w:rPr>
          <w:b/>
          <w:bCs/>
        </w:rPr>
        <w:t>Montréal</w:t>
      </w:r>
      <w:r w:rsidRPr="00AE2603">
        <w:t xml:space="preserve">: </w:t>
      </w:r>
    </w:p>
    <w:p w14:paraId="0BFA8478" w14:textId="77777777" w:rsidR="00AE2603" w:rsidRPr="00AE2603" w:rsidRDefault="00AE2603" w:rsidP="00E67D76">
      <w:pPr>
        <w:numPr>
          <w:ilvl w:val="1"/>
          <w:numId w:val="14"/>
        </w:numPr>
        <w:spacing w:after="0"/>
      </w:pPr>
      <w:r w:rsidRPr="00AE2603">
        <w:t>Steady growth, rising from 100 (2017) to 121 (2024) (21% growth).</w:t>
      </w:r>
    </w:p>
    <w:p w14:paraId="24B89ECD" w14:textId="77777777" w:rsidR="00AE2603" w:rsidRPr="00AE2603" w:rsidRDefault="00AE2603" w:rsidP="00E67D76">
      <w:pPr>
        <w:numPr>
          <w:ilvl w:val="1"/>
          <w:numId w:val="14"/>
        </w:numPr>
        <w:spacing w:after="0"/>
      </w:pPr>
      <w:r w:rsidRPr="00AE2603">
        <w:t xml:space="preserve">Minor fluctuations in </w:t>
      </w:r>
      <w:proofErr w:type="gramStart"/>
      <w:r w:rsidRPr="00AE2603">
        <w:t>2023, but</w:t>
      </w:r>
      <w:proofErr w:type="gramEnd"/>
      <w:r w:rsidRPr="00AE2603">
        <w:t xml:space="preserve"> rebounded in 2024.</w:t>
      </w:r>
    </w:p>
    <w:p w14:paraId="59B0E295" w14:textId="77777777" w:rsidR="00AE2603" w:rsidRPr="00AE2603" w:rsidRDefault="00AE2603" w:rsidP="00AE2603">
      <w:pPr>
        <w:numPr>
          <w:ilvl w:val="0"/>
          <w:numId w:val="5"/>
        </w:numPr>
        <w:spacing w:after="0"/>
      </w:pPr>
      <w:r w:rsidRPr="00AE2603">
        <w:rPr>
          <w:b/>
          <w:bCs/>
        </w:rPr>
        <w:t>Quebec City</w:t>
      </w:r>
      <w:r w:rsidRPr="00AE2603">
        <w:t xml:space="preserve">: </w:t>
      </w:r>
    </w:p>
    <w:p w14:paraId="71F14C3C" w14:textId="77777777" w:rsidR="00AE2603" w:rsidRPr="00AE2603" w:rsidRDefault="00AE2603" w:rsidP="00E67D76">
      <w:pPr>
        <w:numPr>
          <w:ilvl w:val="1"/>
          <w:numId w:val="15"/>
        </w:numPr>
        <w:spacing w:after="0"/>
      </w:pPr>
      <w:r w:rsidRPr="00AE2603">
        <w:t>Declined from 100 (2017) to 95 (2024) (5% decrease).</w:t>
      </w:r>
    </w:p>
    <w:p w14:paraId="51069F65" w14:textId="77777777" w:rsidR="00AE2603" w:rsidRPr="00AE2603" w:rsidRDefault="00AE2603" w:rsidP="00E67D76">
      <w:pPr>
        <w:numPr>
          <w:ilvl w:val="1"/>
          <w:numId w:val="15"/>
        </w:numPr>
        <w:spacing w:after="0"/>
      </w:pPr>
      <w:r w:rsidRPr="00AE2603">
        <w:t>Largest drop occurred after 2021.</w:t>
      </w:r>
    </w:p>
    <w:p w14:paraId="061DBA70" w14:textId="77777777" w:rsidR="00AE2603" w:rsidRPr="00AE2603" w:rsidRDefault="00A53D4A" w:rsidP="00AE2603">
      <w:pPr>
        <w:spacing w:after="0"/>
      </w:pPr>
      <w:r w:rsidRPr="00AE2603">
        <w:rPr>
          <w:noProof/>
        </w:rPr>
        <w:pict w14:anchorId="4E45813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861EDF" w14:textId="77777777" w:rsidR="00AE2603" w:rsidRPr="00AE2603" w:rsidRDefault="00AE2603" w:rsidP="00AE2603">
      <w:pPr>
        <w:spacing w:after="0"/>
        <w:rPr>
          <w:b/>
          <w:bCs/>
          <w:sz w:val="24"/>
          <w:szCs w:val="22"/>
        </w:rPr>
      </w:pPr>
      <w:r w:rsidRPr="00AE2603">
        <w:rPr>
          <w:b/>
          <w:bCs/>
          <w:sz w:val="24"/>
          <w:szCs w:val="22"/>
        </w:rPr>
        <w:t>Alberta</w:t>
      </w:r>
    </w:p>
    <w:p w14:paraId="5D5B3617" w14:textId="77777777" w:rsidR="00AE2603" w:rsidRPr="00AE2603" w:rsidRDefault="00AE2603" w:rsidP="00AE2603">
      <w:pPr>
        <w:numPr>
          <w:ilvl w:val="0"/>
          <w:numId w:val="6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Calgary</w:t>
      </w:r>
      <w:r w:rsidRPr="00AE2603">
        <w:rPr>
          <w:sz w:val="22"/>
          <w:szCs w:val="20"/>
        </w:rPr>
        <w:t xml:space="preserve">: </w:t>
      </w:r>
    </w:p>
    <w:p w14:paraId="0F36EB79" w14:textId="77777777" w:rsidR="00AE2603" w:rsidRPr="00AE2603" w:rsidRDefault="00AE2603" w:rsidP="00E67D76">
      <w:pPr>
        <w:numPr>
          <w:ilvl w:val="1"/>
          <w:numId w:val="16"/>
        </w:numPr>
        <w:spacing w:after="0"/>
      </w:pPr>
      <w:r w:rsidRPr="00AE2603">
        <w:t>Declined from 100 (2017) to 78 (2020) before recovering sharply to 106 (2024) (6% overall growth).</w:t>
      </w:r>
    </w:p>
    <w:p w14:paraId="48F42FA3" w14:textId="77777777" w:rsidR="00AE2603" w:rsidRDefault="00AE2603" w:rsidP="00E67D76">
      <w:pPr>
        <w:numPr>
          <w:ilvl w:val="1"/>
          <w:numId w:val="16"/>
        </w:numPr>
        <w:spacing w:after="0"/>
      </w:pPr>
      <w:r w:rsidRPr="00AE2603">
        <w:t>Largest recovery occurred between 2023 and 2024.</w:t>
      </w:r>
    </w:p>
    <w:p w14:paraId="289EACC5" w14:textId="77777777" w:rsidR="00E67D76" w:rsidRDefault="00E67D76" w:rsidP="00E67D76">
      <w:pPr>
        <w:spacing w:after="0"/>
        <w:ind w:left="720"/>
      </w:pPr>
    </w:p>
    <w:p w14:paraId="77790EBA" w14:textId="77777777" w:rsidR="00E67D76" w:rsidRPr="00AE2603" w:rsidRDefault="00E67D76" w:rsidP="00E67D76">
      <w:pPr>
        <w:spacing w:after="0"/>
        <w:ind w:left="720"/>
      </w:pPr>
    </w:p>
    <w:p w14:paraId="5AD46046" w14:textId="77777777" w:rsidR="00AE2603" w:rsidRPr="00AE2603" w:rsidRDefault="00AE2603" w:rsidP="00AE2603">
      <w:pPr>
        <w:numPr>
          <w:ilvl w:val="0"/>
          <w:numId w:val="6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lastRenderedPageBreak/>
        <w:t>Edmonton</w:t>
      </w:r>
      <w:r w:rsidRPr="00AE2603">
        <w:rPr>
          <w:sz w:val="22"/>
          <w:szCs w:val="20"/>
        </w:rPr>
        <w:t xml:space="preserve">: </w:t>
      </w:r>
    </w:p>
    <w:p w14:paraId="207E3207" w14:textId="77777777" w:rsidR="00AE2603" w:rsidRPr="00AE2603" w:rsidRDefault="00AE2603" w:rsidP="00E67D76">
      <w:pPr>
        <w:numPr>
          <w:ilvl w:val="1"/>
          <w:numId w:val="17"/>
        </w:numPr>
        <w:spacing w:after="0"/>
      </w:pPr>
      <w:r w:rsidRPr="00AE2603">
        <w:t>Declined from 100 (2017) to 87 (2021) before rebounding to 103 (2024) (3% overall growth).</w:t>
      </w:r>
    </w:p>
    <w:p w14:paraId="2451ECCB" w14:textId="77777777" w:rsidR="00AE2603" w:rsidRPr="00AE2603" w:rsidRDefault="00AE2603" w:rsidP="00E67D76">
      <w:pPr>
        <w:numPr>
          <w:ilvl w:val="1"/>
          <w:numId w:val="17"/>
        </w:numPr>
        <w:spacing w:after="0"/>
      </w:pPr>
      <w:r w:rsidRPr="00AE2603">
        <w:t>Recovery was slower than Calgary’s.</w:t>
      </w:r>
    </w:p>
    <w:p w14:paraId="75F5EEB3" w14:textId="77777777" w:rsidR="00AE2603" w:rsidRPr="00AE2603" w:rsidRDefault="00A53D4A" w:rsidP="00AE2603">
      <w:pPr>
        <w:spacing w:after="0"/>
      </w:pPr>
      <w:r w:rsidRPr="00AE2603">
        <w:rPr>
          <w:noProof/>
        </w:rPr>
        <w:pict w14:anchorId="5B7A7A7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D349C0" w14:textId="77777777" w:rsidR="00AE2603" w:rsidRPr="00AE2603" w:rsidRDefault="00AE2603" w:rsidP="00AE2603">
      <w:pPr>
        <w:spacing w:after="0"/>
        <w:rPr>
          <w:b/>
          <w:bCs/>
          <w:sz w:val="24"/>
          <w:szCs w:val="22"/>
        </w:rPr>
      </w:pPr>
      <w:r w:rsidRPr="00AE2603">
        <w:rPr>
          <w:b/>
          <w:bCs/>
          <w:sz w:val="24"/>
          <w:szCs w:val="22"/>
        </w:rPr>
        <w:t>Nova Scotia</w:t>
      </w:r>
    </w:p>
    <w:p w14:paraId="6CC1403F" w14:textId="69931389" w:rsidR="00AE2603" w:rsidRPr="00AE2603" w:rsidRDefault="00AE2603" w:rsidP="00E67D76">
      <w:pPr>
        <w:numPr>
          <w:ilvl w:val="1"/>
          <w:numId w:val="18"/>
        </w:numPr>
        <w:spacing w:after="0"/>
      </w:pPr>
      <w:r w:rsidRPr="00AE2603">
        <w:t>Consistent growth from 100 (2017) to 123 (2021), followed by stabilization at 120 (2022–2023).</w:t>
      </w:r>
    </w:p>
    <w:p w14:paraId="4CCAA6D3" w14:textId="275B1952" w:rsidR="00AE2603" w:rsidRPr="00AE2603" w:rsidRDefault="00B63D5F" w:rsidP="00E67D76">
      <w:pPr>
        <w:numPr>
          <w:ilvl w:val="1"/>
          <w:numId w:val="18"/>
        </w:numPr>
        <w:spacing w:after="0"/>
      </w:pPr>
      <w:r>
        <w:t>A s</w:t>
      </w:r>
      <w:r w:rsidR="00AE2603" w:rsidRPr="00AE2603">
        <w:t>light recovery in 2024, ending at 121 (21% overall growth).</w:t>
      </w:r>
    </w:p>
    <w:p w14:paraId="156EC2E6" w14:textId="77777777" w:rsidR="00AE2603" w:rsidRPr="00AE2603" w:rsidRDefault="00A53D4A" w:rsidP="00AE2603">
      <w:pPr>
        <w:spacing w:after="0"/>
      </w:pPr>
      <w:r w:rsidRPr="00AE2603">
        <w:rPr>
          <w:noProof/>
        </w:rPr>
        <w:pict w14:anchorId="04B8E1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37A7A7" w14:textId="77777777" w:rsidR="00AE2603" w:rsidRPr="00AE2603" w:rsidRDefault="00AE2603" w:rsidP="00AE2603">
      <w:pPr>
        <w:spacing w:after="0"/>
        <w:rPr>
          <w:b/>
          <w:bCs/>
          <w:sz w:val="24"/>
          <w:szCs w:val="22"/>
        </w:rPr>
      </w:pPr>
      <w:r w:rsidRPr="00AE2603">
        <w:rPr>
          <w:b/>
          <w:bCs/>
          <w:sz w:val="24"/>
          <w:szCs w:val="22"/>
        </w:rPr>
        <w:t>Key Insights:</w:t>
      </w:r>
    </w:p>
    <w:p w14:paraId="5327910D" w14:textId="77777777" w:rsidR="00AE2603" w:rsidRPr="00AE2603" w:rsidRDefault="00AE2603" w:rsidP="00AE2603">
      <w:pPr>
        <w:numPr>
          <w:ilvl w:val="0"/>
          <w:numId w:val="8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Strongest Growth</w:t>
      </w:r>
      <w:r w:rsidRPr="00AE2603">
        <w:rPr>
          <w:sz w:val="22"/>
          <w:szCs w:val="20"/>
        </w:rPr>
        <w:t xml:space="preserve">: </w:t>
      </w:r>
    </w:p>
    <w:p w14:paraId="2FF48254" w14:textId="77777777" w:rsidR="00AE2603" w:rsidRPr="00AE2603" w:rsidRDefault="00AE2603" w:rsidP="00E67D76">
      <w:pPr>
        <w:numPr>
          <w:ilvl w:val="1"/>
          <w:numId w:val="19"/>
        </w:numPr>
        <w:spacing w:after="0"/>
      </w:pPr>
      <w:r w:rsidRPr="00AE2603">
        <w:t>Ottawa (43%) and Victoria (37%) showed the most significant growth among all cities.</w:t>
      </w:r>
    </w:p>
    <w:p w14:paraId="5238ABDA" w14:textId="77777777" w:rsidR="00AE2603" w:rsidRPr="00AE2603" w:rsidRDefault="00AE2603" w:rsidP="00AE2603">
      <w:pPr>
        <w:numPr>
          <w:ilvl w:val="0"/>
          <w:numId w:val="8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Declining Markets</w:t>
      </w:r>
      <w:r w:rsidRPr="00AE2603">
        <w:rPr>
          <w:sz w:val="22"/>
          <w:szCs w:val="20"/>
        </w:rPr>
        <w:t xml:space="preserve">: </w:t>
      </w:r>
    </w:p>
    <w:p w14:paraId="6325B424" w14:textId="77777777" w:rsidR="00AE2603" w:rsidRPr="00AE2603" w:rsidRDefault="00AE2603" w:rsidP="00E67D76">
      <w:pPr>
        <w:numPr>
          <w:ilvl w:val="1"/>
          <w:numId w:val="20"/>
        </w:numPr>
        <w:spacing w:after="0"/>
      </w:pPr>
      <w:r w:rsidRPr="00AE2603">
        <w:t>Quebec City was the only city with an overall decline (5% decrease), indicating weaker market dynamics.</w:t>
      </w:r>
    </w:p>
    <w:p w14:paraId="387CC323" w14:textId="77777777" w:rsidR="00AE2603" w:rsidRPr="00AE2603" w:rsidRDefault="00AE2603" w:rsidP="00AE2603">
      <w:pPr>
        <w:numPr>
          <w:ilvl w:val="0"/>
          <w:numId w:val="8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Recovery Trends</w:t>
      </w:r>
      <w:r w:rsidRPr="00AE2603">
        <w:rPr>
          <w:sz w:val="22"/>
          <w:szCs w:val="20"/>
        </w:rPr>
        <w:t xml:space="preserve">: </w:t>
      </w:r>
    </w:p>
    <w:p w14:paraId="2556EB6F" w14:textId="768E99DB" w:rsidR="00AE2603" w:rsidRPr="00AE2603" w:rsidRDefault="00AE2603" w:rsidP="00E67D76">
      <w:pPr>
        <w:numPr>
          <w:ilvl w:val="1"/>
          <w:numId w:val="21"/>
        </w:numPr>
        <w:spacing w:after="0"/>
      </w:pPr>
      <w:r w:rsidRPr="00AE2603">
        <w:t>Cities like Calgary and Edmonton demonstrated sharp recoveries after early declines, signal</w:t>
      </w:r>
      <w:r w:rsidR="00D64F64">
        <w:t>l</w:t>
      </w:r>
      <w:r w:rsidRPr="00AE2603">
        <w:t>ing improving market conditions in Alberta.</w:t>
      </w:r>
    </w:p>
    <w:p w14:paraId="1292D360" w14:textId="77777777" w:rsidR="00AE2603" w:rsidRPr="00AE2603" w:rsidRDefault="00AE2603" w:rsidP="00AE2603">
      <w:pPr>
        <w:numPr>
          <w:ilvl w:val="0"/>
          <w:numId w:val="8"/>
        </w:numPr>
        <w:spacing w:after="0"/>
        <w:rPr>
          <w:sz w:val="22"/>
          <w:szCs w:val="20"/>
        </w:rPr>
      </w:pPr>
      <w:r w:rsidRPr="00AE2603">
        <w:rPr>
          <w:b/>
          <w:bCs/>
          <w:sz w:val="22"/>
          <w:szCs w:val="20"/>
        </w:rPr>
        <w:t>Market Stability</w:t>
      </w:r>
      <w:r w:rsidRPr="00AE2603">
        <w:rPr>
          <w:sz w:val="22"/>
          <w:szCs w:val="20"/>
        </w:rPr>
        <w:t xml:space="preserve">: </w:t>
      </w:r>
    </w:p>
    <w:p w14:paraId="25C3B962" w14:textId="77777777" w:rsidR="00AE2603" w:rsidRDefault="00AE2603" w:rsidP="00E67D76">
      <w:pPr>
        <w:numPr>
          <w:ilvl w:val="1"/>
          <w:numId w:val="22"/>
        </w:numPr>
        <w:spacing w:after="0"/>
      </w:pPr>
      <w:r w:rsidRPr="00AE2603">
        <w:t>Cities like Halifax and Montréal displayed steady growth with minimal fluctuations.</w:t>
      </w:r>
    </w:p>
    <w:p w14:paraId="62118487" w14:textId="77777777" w:rsidR="00A15801" w:rsidRPr="00AE2603" w:rsidRDefault="00A15801" w:rsidP="00A15801">
      <w:pPr>
        <w:spacing w:after="0"/>
        <w:ind w:left="1440"/>
      </w:pPr>
    </w:p>
    <w:p w14:paraId="16A99B66" w14:textId="45CD574D" w:rsidR="00FF18C0" w:rsidRPr="00A15801" w:rsidRDefault="00A15801" w:rsidP="00FF18C0">
      <w:pPr>
        <w:spacing w:after="0"/>
        <w:rPr>
          <w:b/>
          <w:bCs/>
        </w:rPr>
      </w:pPr>
      <w:r w:rsidRPr="00A15801">
        <w:rPr>
          <w:b/>
          <w:bCs/>
        </w:rPr>
        <w:t>Source: Statistics Canada</w:t>
      </w:r>
    </w:p>
    <w:sectPr w:rsidR="00FF18C0" w:rsidRPr="00A158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14252"/>
    <w:multiLevelType w:val="multilevel"/>
    <w:tmpl w:val="08BA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B0AD7"/>
    <w:multiLevelType w:val="multilevel"/>
    <w:tmpl w:val="4AD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B210F"/>
    <w:multiLevelType w:val="multilevel"/>
    <w:tmpl w:val="047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00395"/>
    <w:multiLevelType w:val="multilevel"/>
    <w:tmpl w:val="C09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51809"/>
    <w:multiLevelType w:val="multilevel"/>
    <w:tmpl w:val="EA8A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B7091"/>
    <w:multiLevelType w:val="multilevel"/>
    <w:tmpl w:val="89C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B7321"/>
    <w:multiLevelType w:val="multilevel"/>
    <w:tmpl w:val="B2E0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84DE3"/>
    <w:multiLevelType w:val="multilevel"/>
    <w:tmpl w:val="B584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D4FB0"/>
    <w:multiLevelType w:val="multilevel"/>
    <w:tmpl w:val="89343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DD43B6"/>
    <w:multiLevelType w:val="multilevel"/>
    <w:tmpl w:val="7B0E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B08D3"/>
    <w:multiLevelType w:val="multilevel"/>
    <w:tmpl w:val="A17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83D4D"/>
    <w:multiLevelType w:val="multilevel"/>
    <w:tmpl w:val="614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76ED0"/>
    <w:multiLevelType w:val="multilevel"/>
    <w:tmpl w:val="CE3C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5B44E0"/>
    <w:multiLevelType w:val="multilevel"/>
    <w:tmpl w:val="F84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523A4"/>
    <w:multiLevelType w:val="multilevel"/>
    <w:tmpl w:val="FDA8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EC65EE"/>
    <w:multiLevelType w:val="multilevel"/>
    <w:tmpl w:val="43A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25BE1"/>
    <w:multiLevelType w:val="multilevel"/>
    <w:tmpl w:val="EFA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230F5"/>
    <w:multiLevelType w:val="multilevel"/>
    <w:tmpl w:val="A64A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91B4B"/>
    <w:multiLevelType w:val="multilevel"/>
    <w:tmpl w:val="A37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35997"/>
    <w:multiLevelType w:val="multilevel"/>
    <w:tmpl w:val="C3A4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8268CF"/>
    <w:multiLevelType w:val="multilevel"/>
    <w:tmpl w:val="DA34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872A70"/>
    <w:multiLevelType w:val="multilevel"/>
    <w:tmpl w:val="930C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099119">
    <w:abstractNumId w:val="0"/>
  </w:num>
  <w:num w:numId="2" w16cid:durableId="110903582">
    <w:abstractNumId w:val="21"/>
  </w:num>
  <w:num w:numId="3" w16cid:durableId="1270427847">
    <w:abstractNumId w:val="18"/>
  </w:num>
  <w:num w:numId="4" w16cid:durableId="1269770961">
    <w:abstractNumId w:val="2"/>
  </w:num>
  <w:num w:numId="5" w16cid:durableId="1941796385">
    <w:abstractNumId w:val="15"/>
  </w:num>
  <w:num w:numId="6" w16cid:durableId="222253317">
    <w:abstractNumId w:val="5"/>
  </w:num>
  <w:num w:numId="7" w16cid:durableId="1584412213">
    <w:abstractNumId w:val="17"/>
  </w:num>
  <w:num w:numId="8" w16cid:durableId="592979252">
    <w:abstractNumId w:val="14"/>
  </w:num>
  <w:num w:numId="9" w16cid:durableId="1223907915">
    <w:abstractNumId w:val="8"/>
  </w:num>
  <w:num w:numId="10" w16cid:durableId="1371881965">
    <w:abstractNumId w:val="19"/>
  </w:num>
  <w:num w:numId="11" w16cid:durableId="269049794">
    <w:abstractNumId w:val="6"/>
  </w:num>
  <w:num w:numId="12" w16cid:durableId="1411465702">
    <w:abstractNumId w:val="7"/>
  </w:num>
  <w:num w:numId="13" w16cid:durableId="230621256">
    <w:abstractNumId w:val="20"/>
  </w:num>
  <w:num w:numId="14" w16cid:durableId="1970237796">
    <w:abstractNumId w:val="12"/>
  </w:num>
  <w:num w:numId="15" w16cid:durableId="1540701843">
    <w:abstractNumId w:val="9"/>
  </w:num>
  <w:num w:numId="16" w16cid:durableId="1165437183">
    <w:abstractNumId w:val="4"/>
  </w:num>
  <w:num w:numId="17" w16cid:durableId="293802758">
    <w:abstractNumId w:val="13"/>
  </w:num>
  <w:num w:numId="18" w16cid:durableId="70200383">
    <w:abstractNumId w:val="1"/>
  </w:num>
  <w:num w:numId="19" w16cid:durableId="2141683456">
    <w:abstractNumId w:val="16"/>
  </w:num>
  <w:num w:numId="20" w16cid:durableId="967129730">
    <w:abstractNumId w:val="10"/>
  </w:num>
  <w:num w:numId="21" w16cid:durableId="1840344712">
    <w:abstractNumId w:val="11"/>
  </w:num>
  <w:num w:numId="22" w16cid:durableId="403840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C0"/>
    <w:rsid w:val="001E02D9"/>
    <w:rsid w:val="002E2AEA"/>
    <w:rsid w:val="00304E39"/>
    <w:rsid w:val="005E67A4"/>
    <w:rsid w:val="00674529"/>
    <w:rsid w:val="00A15801"/>
    <w:rsid w:val="00A53D4A"/>
    <w:rsid w:val="00AE2603"/>
    <w:rsid w:val="00B30E70"/>
    <w:rsid w:val="00B63D5F"/>
    <w:rsid w:val="00D64F64"/>
    <w:rsid w:val="00DC5990"/>
    <w:rsid w:val="00E67D76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9F37"/>
  <w15:chartTrackingRefBased/>
  <w15:docId w15:val="{EFBB7600-F42F-EB45-9D64-3001CB64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Cs w:val="18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Quadir</dc:creator>
  <cp:keywords/>
  <dc:description/>
  <cp:lastModifiedBy>Saiful Quadir</cp:lastModifiedBy>
  <cp:revision>6</cp:revision>
  <dcterms:created xsi:type="dcterms:W3CDTF">2025-01-18T22:57:00Z</dcterms:created>
  <dcterms:modified xsi:type="dcterms:W3CDTF">2025-01-18T23:19:00Z</dcterms:modified>
</cp:coreProperties>
</file>