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[DOC_TYPE] report</w:t>
      </w:r>
    </w:p>
    <w:p>
      <w:r>
        <w:t>[SUMMARY] KooRemapper IGA 변환 입력 시료의 사양과 변환 결과를 정리한 표준 예제 보고서. 각 변환 규칙(헤딩·표 캡션·메타 마커)을 최소 단위로 시연한다.</w:t>
      </w:r>
    </w:p>
    <w:p>
      <w:r>
        <w:t>[TAGS] IGA, NURBS, KooRemapper, sample, standard</w:t>
      </w:r>
    </w:p>
    <w:p>
      <w:r>
        <w:t>[AGENT_SCOPE] iga-analyst, cae-reporter</w:t>
      </w:r>
    </w:p>
    <w:p>
      <w:pPr>
        <w:pStyle w:val="Heading1"/>
      </w:pPr>
      <w:r>
        <w:t>1. 개요</w:t>
      </w:r>
    </w:p>
    <w:p>
      <w:pPr>
        <w:pStyle w:val="Heading2"/>
      </w:pPr>
      <w:r>
        <w:t>1.1 목적</w:t>
      </w:r>
    </w:p>
    <w:p>
      <w:r>
        <w:t>본 문서는 표준 Word 작성 규칙(Heading 스타일, 표 캡션 위, 그림 캡션 아래)을 그대로 따르는 최소 예제이다. 사용자는 이 파일을 그대로 복사하고 내용만 교체해 작성을 시작할 수 있다.</w:t>
      </w:r>
    </w:p>
    <w:p>
      <w:pPr>
        <w:pStyle w:val="Heading2"/>
      </w:pPr>
      <w:r>
        <w:t>1.2 범위</w:t>
      </w:r>
    </w:p>
    <w:p>
      <w:r>
        <w:t>본 예제는 IGA 변환에 사용되는 시료 2종(알루미늄 6061, 일반 강재)의 재질·치수만 다룬다. 실제 변환 결과·검증 곡선 등은 별도 부속 문서로 분리한다.</w:t>
      </w:r>
    </w:p>
    <w:p>
      <w:pPr>
        <w:pStyle w:val="Heading1"/>
      </w:pPr>
      <w:r>
        <w:t>2. 시료 사양</w:t>
      </w:r>
    </w:p>
    <w:p>
      <w:r>
        <w:t>다음 표는 변환 검증에 사용된 두 시료의 재질과 두께를 요약한다. 표 캡션은 표 위에 배치한다(Word 작성 3원칙 중 하나).</w:t>
      </w:r>
    </w:p>
    <w:p>
      <w:pPr>
        <w:pStyle w:val="Caption"/>
      </w:pPr>
      <w:r>
        <w:t>Table 1: 시료 사양 (재질·치수)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시료ID</w:t>
            </w:r>
          </w:p>
        </w:tc>
        <w:tc>
          <w:tcPr>
            <w:tcW w:type="dxa" w:w="2880"/>
          </w:tcPr>
          <w:p>
            <w:r>
              <w:t>재질</w:t>
            </w:r>
          </w:p>
        </w:tc>
        <w:tc>
          <w:tcPr>
            <w:tcW w:type="dxa" w:w="2880"/>
          </w:tcPr>
          <w:p>
            <w:r>
              <w:t>두께(mm)</w:t>
            </w:r>
          </w:p>
        </w:tc>
      </w:tr>
      <w:tr>
        <w:tc>
          <w:tcPr>
            <w:tcW w:type="dxa" w:w="2880"/>
          </w:tcPr>
          <w:p>
            <w:r>
              <w:t>S001</w:t>
            </w:r>
          </w:p>
        </w:tc>
        <w:tc>
          <w:tcPr>
            <w:tcW w:type="dxa" w:w="2880"/>
          </w:tcPr>
          <w:p>
            <w:r>
              <w:t>Al6061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S002</w:t>
            </w:r>
          </w:p>
        </w:tc>
        <w:tc>
          <w:tcPr>
            <w:tcW w:type="dxa" w:w="2880"/>
          </w:tcPr>
          <w:p>
            <w:r>
              <w:t>Steel</w:t>
            </w:r>
          </w:p>
        </w:tc>
        <w:tc>
          <w:tcPr>
            <w:tcW w:type="dxa" w:w="2880"/>
          </w:tcPr>
          <w:p>
            <w:r>
              <w:t>1.5</w:t>
            </w:r>
          </w:p>
        </w:tc>
      </w:tr>
    </w:tbl>
    <w:p>
      <w:pPr>
        <w:pStyle w:val="Heading1"/>
      </w:pPr>
      <w:r>
        <w:t>3. 결론</w:t>
      </w:r>
    </w:p>
    <w:p>
      <w:r>
        <w:t>두 시료 모두 KooRemapper IGA 변환 파이프라인의 입력 요건(닫힌 FE mesh, 단일 PART)을 충족하였다. 변환 결과 *.iga 파일은 재해석 검증을 통과하였다.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