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적색 발광 영역의 액자형 수축 현상</w:t>
        <w:br/>
        <w:t>산소 영향성 특정 시험 계획 및 반응-확산 시뮬레이션 구축 제안</w:t>
      </w:r>
    </w:p>
    <w:p>
      <w:r>
        <w:rPr>
          <w:rFonts w:ascii="맑은 고딕" w:hAnsi="맑은 고딕" w:eastAsia="맑은 고딕"/>
          <w:b w:val="0"/>
          <w:i w:val="0"/>
          <w:sz w:val="20"/>
        </w:rPr>
        <w:t>문서 구분: 시험 계획서 (Draft)</w:t>
      </w:r>
    </w:p>
    <w:p>
      <w:r>
        <w:rPr>
          <w:rFonts w:ascii="맑은 고딕" w:hAnsi="맑은 고딕" w:eastAsia="맑은 고딕"/>
          <w:b w:val="0"/>
          <w:i w:val="0"/>
          <w:sz w:val="20"/>
        </w:rPr>
        <w:t>작성일: 2026-08-06</w:t>
      </w:r>
    </w:p>
    <w:p>
      <w:r>
        <w:rPr>
          <w:rFonts w:ascii="맑은 고딕" w:hAnsi="맑은 고딕" w:eastAsia="맑은 고딕"/>
          <w:b w:val="0"/>
          <w:i w:val="0"/>
          <w:sz w:val="20"/>
        </w:rPr>
        <w:t>대상: pol-less(COE) 구조 디스플레이 모듈 — 전부 적층 완료 상태</w:t>
      </w:r>
    </w:p>
    <w:p>
      <w:r>
        <w:rPr>
          <w:rFonts w:ascii="맑은 고딕" w:hAnsi="맑은 고딕" w:eastAsia="맑은 고딕"/>
          <w:b w:val="0"/>
          <w:i w:val="0"/>
          <w:sz w:val="20"/>
        </w:rPr>
        <w:t>전제 제약: 라미네이션 이전(자재·경화 단계) 시험은 패널 업체 관할로 본 계획 범위에서 제외. 모든 시험은 완성 모듈의 방치(스토리지) 시험과 방치 후 평가로 구성한다.</w:t>
      </w:r>
    </w:p>
    <w:p>
      <w:r>
        <w:rPr>
          <w:rFonts w:ascii="맑은 고딕" w:hAnsi="맑은 고딕" w:eastAsia="맑은 고딕"/>
          <w:b w:val="0"/>
          <w:i w:val="0"/>
          <w:sz w:val="20"/>
        </w:rPr>
        <w:t>평가 방식: 방치한 모듈을 세트(스마트폰)로 조립한 뒤 R / G / B / W 전면 이미지와 계조 사다리를 표시하고 촬영·정량화한다(§6). 계측 아티팩트 통제와 표시 경로 잠금이 성립 조건이다.</w:t>
      </w:r>
    </w:p>
    <w:p>
      <w:r>
        <w:br w:type="page"/>
      </w:r>
    </w:p>
    <w:p>
      <w:pPr>
        <w:pStyle w:val="Heading1"/>
      </w:pPr>
      <w:r>
        <w:t>1. 목적과 범위</w:t>
      </w:r>
    </w:p>
    <w:p>
      <w:r>
        <w:rPr>
          <w:rFonts w:ascii="맑은 고딕" w:hAnsi="맑은 고딕" w:eastAsia="맑은 고딕"/>
          <w:b w:val="0"/>
          <w:i w:val="0"/>
        </w:rPr>
        <w:t>pol-less(COE) 구조 적용 과제에서 관측된 '적색 발광 영역의 액자형 수축' 현상의 주가설은 산소에 의한 인광 소광(H1c, §4.1)이다. 본 계획은 이 가설을 검증 또는 기각하고, 산소의 역할을 실험적으로 특정한 뒤, 그 결과로 산소 확산·Stern-Volmer 소광 기반 시뮬레이션 모델을 캘리브레이션하여 제어 인자(에지 실링, UV 후경화, 온도, UV 흡수제 등)를 정량 평가한다.</w:t>
      </w:r>
    </w:p>
    <w:p>
      <w:pPr>
        <w:pStyle w:val="ListBullet"/>
      </w:pPr>
      <w:r>
        <w:rPr>
          <w:rFonts w:ascii="맑은 고딕" w:hAnsi="맑은 고딕" w:eastAsia="맑은 고딕"/>
        </w:rPr>
        <w:t>범위 내 — 완성 모듈의 분위기(산소 분압·습도·온도) 방치 시험, 방치 후 광학·전기 평가, UV 조사 시험, 에지 실링·UV 후경화 등 모듈 상태에서 가할 수 있는 처리, 시뮬레이션 모델 구축.</w:t>
      </w:r>
    </w:p>
    <w:p>
      <w:pPr>
        <w:pStyle w:val="ListBullet"/>
      </w:pPr>
      <w:r>
        <w:rPr>
          <w:rFonts w:ascii="맑은 고딕" w:hAnsi="맑은 고딕" w:eastAsia="맑은 고딕"/>
        </w:rPr>
        <w:t>범위 외 — OCA 라미네이션·경화 공정 조건 변경(업체 관할), 패널 스택 설계 변경. 단, 이로 인해 확보 불가한 정보는 §5.5 보조 시험(로트 상관)과 §11 업체 요청 데이터 항목으로 대체한다.</w:t>
      </w:r>
    </w:p>
    <w:p>
      <w:pPr>
        <w:pStyle w:val="Heading1"/>
      </w:pPr>
      <w:r>
        <w:t>2. 현상 정의 — 관측 사실과 논리적 제약</w:t>
      </w:r>
    </w:p>
    <w:p>
      <w:r>
        <w:rPr>
          <w:rFonts w:ascii="맑은 고딕" w:hAnsi="맑은 고딕" w:eastAsia="맑은 고딕"/>
          <w:b w:val="0"/>
          <w:i w:val="0"/>
        </w:rPr>
        <w:t>관측 5건이 기전 후보 공간을 강하게 제약한다.</w:t>
      </w:r>
    </w:p>
    <w:tbl>
      <w:tblPr>
        <w:tblStyle w:val="TableGrid"/>
        <w:tblW w:type="auto" w:w="0"/>
        <w:tblLook w:firstColumn="1" w:firstRow="1" w:lastColumn="0" w:lastRow="0" w:noHBand="0" w:noVBand="1" w:val="04A0"/>
      </w:tblPr>
      <w:tblGrid>
        <w:gridCol w:w="2880"/>
        <w:gridCol w:w="2880"/>
        <w:gridCol w:w="2880"/>
      </w:tblGrid>
      <w:tr>
        <w:tc>
          <w:tcPr>
            <w:tcW w:type="dxa" w:w="454"/>
          </w:tcPr>
          <w:p>
            <w:r/>
            <w:r>
              <w:rPr>
                <w:rFonts w:ascii="맑은 고딕" w:hAnsi="맑은 고딕" w:eastAsia="맑은 고딕"/>
                <w:b/>
                <w:sz w:val="18"/>
              </w:rPr>
              <w:t>#</w:t>
            </w:r>
          </w:p>
        </w:tc>
        <w:tc>
          <w:tcPr>
            <w:tcW w:type="dxa" w:w="4139"/>
          </w:tcPr>
          <w:p>
            <w:r/>
            <w:r>
              <w:rPr>
                <w:rFonts w:ascii="맑은 고딕" w:hAnsi="맑은 고딕" w:eastAsia="맑은 고딕"/>
                <w:b/>
                <w:sz w:val="18"/>
              </w:rPr>
              <w:t>관측 사실</w:t>
            </w:r>
          </w:p>
        </w:tc>
        <w:tc>
          <w:tcPr>
            <w:tcW w:type="dxa" w:w="4932"/>
          </w:tcPr>
          <w:p>
            <w:r/>
            <w:r>
              <w:rPr>
                <w:rFonts w:ascii="맑은 고딕" w:hAnsi="맑은 고딕" w:eastAsia="맑은 고딕"/>
                <w:b/>
                <w:sz w:val="18"/>
              </w:rPr>
              <w:t>논리적 함의(배제·제약)</w:t>
            </w:r>
          </w:p>
        </w:tc>
      </w:tr>
      <w:tr>
        <w:tc>
          <w:tcPr>
            <w:tcW w:type="dxa" w:w="454"/>
          </w:tcPr>
          <w:p>
            <w:r/>
            <w:r>
              <w:rPr>
                <w:rFonts w:ascii="맑은 고딕" w:hAnsi="맑은 고딕" w:eastAsia="맑은 고딕"/>
                <w:sz w:val="18"/>
              </w:rPr>
              <w:t>1</w:t>
            </w:r>
          </w:p>
        </w:tc>
        <w:tc>
          <w:tcPr>
            <w:tcW w:type="dxa" w:w="4139"/>
          </w:tcPr>
          <w:p>
            <w:r/>
            <w:r>
              <w:rPr>
                <w:rFonts w:ascii="맑은 고딕" w:hAnsi="맑은 고딕" w:eastAsia="맑은 고딕"/>
                <w:sz w:val="18"/>
              </w:rPr>
              <w:t>적색 발광이 중앙부에서만 나오고 외곽은 사각 튜브(액자) 형태로 적색 무발광. 4변 대칭.</w:t>
            </w:r>
          </w:p>
        </w:tc>
        <w:tc>
          <w:tcPr>
            <w:tcW w:type="dxa" w:w="4932"/>
          </w:tcPr>
          <w:p>
            <w:r/>
            <w:r>
              <w:rPr>
                <w:rFonts w:ascii="맑은 고딕" w:hAnsi="맑은 고딕" w:eastAsia="맑은 고딕"/>
                <w:sz w:val="18"/>
              </w:rPr>
              <w:t>라테랄 공간 프로세스 필요. 콘텐츠 사용 패턴(레터박스 2변·상태바 1변)·스캔 구동(1차원 밴드) 기하 배제. 색 선택성은 발광체별 여기 수명 차이로 설명 가능한 영역.</w:t>
            </w:r>
          </w:p>
        </w:tc>
      </w:tr>
      <w:tr>
        <w:tc>
          <w:tcPr>
            <w:tcW w:type="dxa" w:w="454"/>
          </w:tcPr>
          <w:p>
            <w:r/>
            <w:r>
              <w:rPr>
                <w:rFonts w:ascii="맑은 고딕" w:hAnsi="맑은 고딕" w:eastAsia="맑은 고딕"/>
                <w:sz w:val="18"/>
              </w:rPr>
              <w:t>2</w:t>
            </w:r>
          </w:p>
        </w:tc>
        <w:tc>
          <w:tcPr>
            <w:tcW w:type="dxa" w:w="4139"/>
          </w:tcPr>
          <w:p>
            <w:r/>
            <w:r>
              <w:rPr>
                <w:rFonts w:ascii="맑은 고딕" w:hAnsi="맑은 고딕" w:eastAsia="맑은 고딕"/>
                <w:sz w:val="18"/>
              </w:rPr>
              <w:t>시간 경과에 따라 중앙 적색 영역이 점진 수축(액자 폭이 내향 성장).</w:t>
            </w:r>
          </w:p>
        </w:tc>
        <w:tc>
          <w:tcPr>
            <w:tcW w:type="dxa" w:w="4932"/>
          </w:tcPr>
          <w:p>
            <w:r/>
            <w:r>
              <w:rPr>
                <w:rFonts w:ascii="맑은 고딕" w:hAnsi="맑은 고딕" w:eastAsia="맑은 고딕"/>
                <w:sz w:val="18"/>
              </w:rPr>
              <w:t>진행성 상태변수 존재. 폭의 시간 법칙(√t형/포화형/외광 요동형)이 기하 가설 판별축.</w:t>
            </w:r>
          </w:p>
        </w:tc>
      </w:tr>
      <w:tr>
        <w:tc>
          <w:tcPr>
            <w:tcW w:type="dxa" w:w="454"/>
          </w:tcPr>
          <w:p>
            <w:r/>
            <w:r>
              <w:rPr>
                <w:rFonts w:ascii="맑은 고딕" w:hAnsi="맑은 고딕" w:eastAsia="맑은 고딕"/>
                <w:sz w:val="18"/>
              </w:rPr>
              <w:t>3</w:t>
            </w:r>
          </w:p>
        </w:tc>
        <w:tc>
          <w:tcPr>
            <w:tcW w:type="dxa" w:w="4139"/>
          </w:tcPr>
          <w:p>
            <w:r/>
            <w:r>
              <w:rPr>
                <w:rFonts w:ascii="맑은 고딕" w:hAnsi="맑은 고딕" w:eastAsia="맑은 고딕"/>
                <w:sz w:val="18"/>
              </w:rPr>
              <w:t>경계는 동작 중 이동하지 않고 전원 첫 켜짐(콜드부트) 시점에 고정 — 부팅 단위 래치.</w:t>
            </w:r>
          </w:p>
        </w:tc>
        <w:tc>
          <w:tcPr>
            <w:tcW w:type="dxa" w:w="4932"/>
          </w:tcPr>
          <w:p>
            <w:r/>
            <w:r>
              <w:rPr>
                <w:rFonts w:ascii="맑은 고딕" w:hAnsi="맑은 고딕" w:eastAsia="맑은 고딕"/>
                <w:sz w:val="18"/>
              </w:rPr>
              <w:t>관측이 스냅샷 매개. (a) 부팅 시 외부보상 센싱의 세션 고정 vs (b) 바이어스 전계에 의한 분포 동결.</w:t>
            </w:r>
          </w:p>
        </w:tc>
      </w:tr>
      <w:tr>
        <w:tc>
          <w:tcPr>
            <w:tcW w:type="dxa" w:w="454"/>
          </w:tcPr>
          <w:p>
            <w:r/>
            <w:r>
              <w:rPr>
                <w:rFonts w:ascii="맑은 고딕" w:hAnsi="맑은 고딕" w:eastAsia="맑은 고딕"/>
                <w:sz w:val="18"/>
              </w:rPr>
              <w:t>4</w:t>
            </w:r>
          </w:p>
        </w:tc>
        <w:tc>
          <w:tcPr>
            <w:tcW w:type="dxa" w:w="4139"/>
          </w:tcPr>
          <w:p>
            <w:r/>
            <w:r>
              <w:rPr>
                <w:rFonts w:ascii="맑은 고딕" w:hAnsi="맑은 고딕" w:eastAsia="맑은 고딕"/>
                <w:sz w:val="18"/>
              </w:rPr>
              <w:t>UV 조사 시 초기 상태로 리셋(적색 영역 회복).</w:t>
            </w:r>
          </w:p>
        </w:tc>
        <w:tc>
          <w:tcPr>
            <w:tcW w:type="dxa" w:w="4932"/>
          </w:tcPr>
          <w:p>
            <w:r/>
            <w:r>
              <w:rPr>
                <w:rFonts w:ascii="맑은 고딕" w:hAnsi="맑은 고딕" w:eastAsia="맑은 고딕"/>
                <w:sz w:val="18"/>
              </w:rPr>
              <w:t>상태변수가 가역 → 비가역 화학 열화(번인·수분 사멸)는 주기전에서 배제. 전면 UV × BM 차광 기하 → 상태는 CF 개구 광경로(발광 스택·CF·봉지 개구부)에 위치할 개연성.</w:t>
            </w:r>
          </w:p>
        </w:tc>
      </w:tr>
      <w:tr>
        <w:tc>
          <w:tcPr>
            <w:tcW w:type="dxa" w:w="454"/>
          </w:tcPr>
          <w:p>
            <w:r/>
            <w:r>
              <w:rPr>
                <w:rFonts w:ascii="맑은 고딕" w:hAnsi="맑은 고딕" w:eastAsia="맑은 고딕"/>
                <w:sz w:val="18"/>
              </w:rPr>
              <w:t>5</w:t>
            </w:r>
          </w:p>
        </w:tc>
        <w:tc>
          <w:tcPr>
            <w:tcW w:type="dxa" w:w="4139"/>
          </w:tcPr>
          <w:p>
            <w:r/>
            <w:r>
              <w:rPr>
                <w:rFonts w:ascii="맑은 고딕" w:hAnsi="맑은 고딕" w:eastAsia="맑은 고딕"/>
                <w:sz w:val="18"/>
              </w:rPr>
              <w:t>UV 리셋 이후에도 장시간 경과하면 재발하며, 반복 재현된다.</w:t>
            </w:r>
          </w:p>
        </w:tc>
        <w:tc>
          <w:tcPr>
            <w:tcW w:type="dxa" w:w="4932"/>
          </w:tcPr>
          <w:p>
            <w:r/>
            <w:r>
              <w:rPr>
                <w:rFonts w:ascii="맑은 고딕" w:hAnsi="맑은 고딕" w:eastAsia="맑은 고딕"/>
                <w:sz w:val="18"/>
              </w:rPr>
              <w:t>소스가 소모되지 않거나 재공급된다는 뜻. 유한 저장소를 1회 소모하는 기전은 단독으로 성립 불가. 소광 주체가 외부에서 계속 재공급되는 물질(산소)이거나, UV 가 소스가 아닌 하류만 해소하는 경우로 좁혀진다.</w:t>
            </w:r>
          </w:p>
        </w:tc>
      </w:tr>
    </w:tbl>
    <w:p/>
    <w:p>
      <w:pPr>
        <w:pStyle w:val="Heading1"/>
      </w:pPr>
      <w:r>
        <w:t>3. 구조 전제 — COE 와 OCA 의 지위 변화</w:t>
      </w:r>
    </w:p>
    <w:p>
      <w:r>
        <w:rPr>
          <w:rFonts w:ascii="맑은 고딕" w:hAnsi="맑은 고딕" w:eastAsia="맑은 고딕"/>
          <w:b w:val="0"/>
          <w:i w:val="0"/>
        </w:rPr>
        <w:t>본 과제부터 편광판·위상지연판이 제거되고, 반사 억제는 비발광 회로부를 덮는 블랙 매트릭스(BM)와 발광 소자 개구부에 정밀 정합된 컬러필터(CF)가 담당한다(COE, Color Filter on Encapsulation). 이 구조 변화의 함의는 세 가지다.</w:t>
      </w:r>
    </w:p>
    <w:p>
      <w:pPr>
        <w:pStyle w:val="ListNumber"/>
      </w:pPr>
      <w:r>
        <w:rPr>
          <w:rFonts w:ascii="맑은 고딕" w:hAnsi="맑은 고딕" w:eastAsia="맑은 고딕"/>
        </w:rPr>
        <w:t>UV·외광의 내부 도달 경로가 'CF 개구 투과 스펙트럼 × BM 차광'으로 결정된다. 적색 CF 는 통과대역(600 nm 이상) 외에 근자외~보라(380~420 nm) 2차 투과창을 갖는 안료계가 많으므로(경험칙) 실측이 선결이다.</w:t>
      </w:r>
    </w:p>
    <w:p>
      <w:pPr>
        <w:pStyle w:val="ListNumber"/>
      </w:pPr>
      <w:r>
        <w:rPr>
          <w:rFonts w:ascii="맑은 고딕" w:hAnsi="맑은 고딕" w:eastAsia="맑은 고딕"/>
        </w:rPr>
        <w:t>종전 구조에서 편광판은 UV 차단층이자 OCA 화학종의 물리 배리어를 겸했다. COE 에서는 OCA 가 CF/BM·봉지(TFE) 직상부의 최인접 유기 벌크가 되어, OCA 의 경화도·잔류물·에지 상태가 광학 품질 항목에서 패널 신뢰성 항목으로 승격된다.</w:t>
      </w:r>
    </w:p>
    <w:p>
      <w:pPr>
        <w:pStyle w:val="ListNumber"/>
      </w:pPr>
      <w:r>
        <w:rPr>
          <w:rFonts w:ascii="맑은 고딕" w:hAnsi="맑은 고딕" w:eastAsia="맑은 고딕"/>
        </w:rPr>
        <w:t>현상이 본 과제(COE 적용)부터 관측되었다는 시기 정합은 신규 요소 — OCA 의 최인접화, CF/BM 신규 재료·공정, 외광 환경 변화 — 와의 인과를 시사한다.</w:t>
      </w:r>
    </w:p>
    <w:p>
      <w:pPr>
        <w:pStyle w:val="Heading1"/>
      </w:pPr>
      <w:r>
        <w:t>4. 가설 체계</w:t>
      </w:r>
    </w:p>
    <w:p>
      <w:pPr>
        <w:pStyle w:val="Heading2"/>
      </w:pPr>
      <w:r>
        <w:t>4.1 주가설 H1c — 산소 소광(O₂ quenching) × 미경화 OCA 저장고·통로 × UV 라디칼 산소 소거 리셋</w:t>
      </w:r>
    </w:p>
    <w:p>
      <w:r>
        <w:rPr>
          <w:rFonts w:ascii="맑은 고딕" w:hAnsi="맑은 고딕" w:eastAsia="맑은 고딕"/>
          <w:b w:val="0"/>
          <w:i w:val="0"/>
        </w:rPr>
        <w:t>소광 주체를 '미경화 OCA 가 방출한 화학종'이 아니라 '산소 그 자체'로 두는 가설이다. 미경화 OCA 는 소광종의 공급원이 아니라 산소의 저장고이자 라테랄 고속 통로 역할만 한다. 기전 체인은 다음과 같다.</w:t>
      </w:r>
    </w:p>
    <w:p>
      <w:pPr>
        <w:pStyle w:val="ListNumber"/>
      </w:pPr>
      <w:r>
        <w:rPr>
          <w:rFonts w:ascii="맑은 고딕" w:hAnsi="맑은 고딕" w:eastAsia="맑은 고딕"/>
        </w:rPr>
        <w:t>모듈 에지(TFE 종단부·OCA 계면)를 통해 O₂ 가 침투한다.</w:t>
      </w:r>
    </w:p>
    <w:p>
      <w:pPr>
        <w:pStyle w:val="ListNumber"/>
      </w:pPr>
      <w:r>
        <w:rPr>
          <w:rFonts w:ascii="맑은 고딕" w:hAnsi="맑은 고딕" w:eastAsia="맑은 고딕"/>
        </w:rPr>
        <w:t>미경화 OCA 는 가교밀도가 낮아 O₂ 용해도와 확산계수가 높다(경험칙) — 저장고 겸 라테랄 고속 통로가 된다.</w:t>
      </w:r>
    </w:p>
    <w:p>
      <w:pPr>
        <w:pStyle w:val="ListNumber"/>
      </w:pPr>
      <w:r>
        <w:rPr>
          <w:rFonts w:ascii="맑은 고딕" w:hAnsi="맑은 고딕" w:eastAsia="맑은 고딕"/>
        </w:rPr>
        <w:t>O₂ 가 발광층에 도달해 인광 도판트의 삼중항 여기자를 동적 소광(dynamic quenching)한다. Stern-Volmer 관계 I₀/I = 1 + k_q·τ₀·[O₂] 에 따라 소광 정도는 무산소 여기 수명 τ₀ 에 비례한다.</w:t>
      </w:r>
    </w:p>
    <w:p>
      <w:pPr>
        <w:pStyle w:val="ListNumber"/>
      </w:pPr>
      <w:r>
        <w:rPr>
          <w:rFonts w:ascii="맑은 고딕" w:hAnsi="맑은 고딕" w:eastAsia="맑은 고딕"/>
        </w:rPr>
        <w:t>적·녹 인광 도판트(τ₀ ≈ 1 µs 급)는 청색 형광(τ₀ ≈ 1~10 ns 급)보다 소광 감수성이 약 10²~10³ 배 크다(경험칙) — 적색이 먼저·가장 크게 죽는 관측이 물리로 예측된다.</w:t>
      </w:r>
    </w:p>
    <w:p>
      <w:pPr>
        <w:pStyle w:val="ListNumber"/>
      </w:pPr>
      <w:r>
        <w:rPr>
          <w:rFonts w:ascii="맑은 고딕" w:hAnsi="맑은 고딕" w:eastAsia="맑은 고딕"/>
        </w:rPr>
        <w:t>UV 조사 시 잔류 광개시제에서 생성된 라디칼이 용존 O₂ 를 소거(scavenging)해 소광이 해소된다 — 이것이 리셋의 정체다. 산소 저해 현상 자체가 '라디칼이 산소를 잡아먹는' 과정이라는 점에서 기전이 일관된다.</w:t>
      </w:r>
    </w:p>
    <w:p>
      <w:pPr>
        <w:pStyle w:val="ListNumber"/>
      </w:pPr>
      <w:r>
        <w:rPr>
          <w:rFonts w:ascii="맑은 고딕" w:hAnsi="맑은 고딕" w:eastAsia="맑은 고딕"/>
        </w:rPr>
        <w:t>리셋 후 시간이 지나면 에지에서 O₂ 가 재확산해 다시 진행한다 — 재발이 필연이며 반복 재현된다.</w:t>
      </w:r>
    </w:p>
    <w:p>
      <w:r>
        <w:rPr>
          <w:rFonts w:ascii="맑은 고딕" w:hAnsi="맑은 고딕" w:eastAsia="맑은 고딕"/>
          <w:b w:val="0"/>
          <w:i w:val="0"/>
        </w:rPr>
        <w:t>H1c 의 강점은 소광이 화학 반응이 아니라 순수 물리·동적 과정이라 소모되는 것이 없다는 점이다. 따라서 리셋과 재발의 무한 반복(관측 5)이 별도 가정 없이 설명된다. 또한 적색 선택성(관측 1)이 수명 차이라는 독립 물리로 예측되므로, R/G/B 분리 측정이 곧 본 가설의 직접 검증이 된다(§6.1).</w:t>
      </w:r>
    </w:p>
    <w:tbl>
      <w:tblPr>
        <w:tblStyle w:val="TableGrid"/>
        <w:tblW w:type="auto" w:w="0"/>
        <w:tblLook w:firstColumn="1" w:firstRow="1" w:lastColumn="0" w:lastRow="0" w:noHBand="0" w:noVBand="1" w:val="04A0"/>
      </w:tblPr>
      <w:tblGrid>
        <w:gridCol w:w="4320"/>
        <w:gridCol w:w="4320"/>
      </w:tblGrid>
      <w:tr>
        <w:tc>
          <w:tcPr>
            <w:tcW w:type="dxa" w:w="1814"/>
          </w:tcPr>
          <w:p>
            <w:r/>
            <w:r>
              <w:rPr>
                <w:rFonts w:ascii="맑은 고딕" w:hAnsi="맑은 고딕" w:eastAsia="맑은 고딕"/>
                <w:b/>
                <w:sz w:val="18"/>
              </w:rPr>
              <w:t>관측</w:t>
            </w:r>
          </w:p>
        </w:tc>
        <w:tc>
          <w:tcPr>
            <w:tcW w:type="dxa" w:w="7710"/>
          </w:tcPr>
          <w:p>
            <w:r/>
            <w:r>
              <w:rPr>
                <w:rFonts w:ascii="맑은 고딕" w:hAnsi="맑은 고딕" w:eastAsia="맑은 고딕"/>
                <w:b/>
                <w:sz w:val="18"/>
              </w:rPr>
              <w:t>H1c 설명 경로</w:t>
            </w:r>
          </w:p>
        </w:tc>
      </w:tr>
      <w:tr>
        <w:tc>
          <w:tcPr>
            <w:tcW w:type="dxa" w:w="1814"/>
          </w:tcPr>
          <w:p>
            <w:r/>
            <w:r>
              <w:rPr>
                <w:rFonts w:ascii="맑은 고딕" w:hAnsi="맑은 고딕" w:eastAsia="맑은 고딕"/>
                <w:sz w:val="18"/>
              </w:rPr>
              <w:t>1 액자형·적색 선택</w:t>
            </w:r>
          </w:p>
        </w:tc>
        <w:tc>
          <w:tcPr>
            <w:tcW w:type="dxa" w:w="7710"/>
          </w:tcPr>
          <w:p>
            <w:r/>
            <w:r>
              <w:rPr>
                <w:rFonts w:ascii="맑은 고딕" w:hAnsi="맑은 고딕" w:eastAsia="맑은 고딕"/>
                <w:sz w:val="18"/>
              </w:rPr>
              <w:t>O₂ 가 에지에서 침투 → 4변 대칭 액자. 적색 선택성은 인광 τ₀ 가 길어 소광 감수성이 큰 데서 유래</w:t>
            </w:r>
          </w:p>
        </w:tc>
      </w:tr>
      <w:tr>
        <w:tc>
          <w:tcPr>
            <w:tcW w:type="dxa" w:w="1814"/>
          </w:tcPr>
          <w:p>
            <w:r/>
            <w:r>
              <w:rPr>
                <w:rFonts w:ascii="맑은 고딕" w:hAnsi="맑은 고딕" w:eastAsia="맑은 고딕"/>
                <w:sz w:val="18"/>
              </w:rPr>
              <w:t>2 내향 수축</w:t>
            </w:r>
          </w:p>
        </w:tc>
        <w:tc>
          <w:tcPr>
            <w:tcW w:type="dxa" w:w="7710"/>
          </w:tcPr>
          <w:p>
            <w:r/>
            <w:r>
              <w:rPr>
                <w:rFonts w:ascii="맑은 고딕" w:hAnsi="맑은 고딕" w:eastAsia="맑은 고딕"/>
                <w:sz w:val="18"/>
              </w:rPr>
              <w:t>O₂ 의 라테랄 확산으로 소광 전선이 내향 전진. 순수 확산 지배면 w(t) ∝ √t</w:t>
            </w:r>
          </w:p>
        </w:tc>
      </w:tr>
      <w:tr>
        <w:tc>
          <w:tcPr>
            <w:tcW w:type="dxa" w:w="1814"/>
          </w:tcPr>
          <w:p>
            <w:r/>
            <w:r>
              <w:rPr>
                <w:rFonts w:ascii="맑은 고딕" w:hAnsi="맑은 고딕" w:eastAsia="맑은 고딕"/>
                <w:sz w:val="18"/>
              </w:rPr>
              <w:t>3 부팅 래치</w:t>
            </w:r>
          </w:p>
        </w:tc>
        <w:tc>
          <w:tcPr>
            <w:tcW w:type="dxa" w:w="7710"/>
          </w:tcPr>
          <w:p>
            <w:r/>
            <w:r>
              <w:rPr>
                <w:rFonts w:ascii="맑은 고딕" w:hAnsi="맑은 고딕" w:eastAsia="맑은 고딕"/>
                <w:sz w:val="18"/>
              </w:rPr>
              <w:t>H1c 단독으로는 미설명 — 소광이 주입·발광 특성을 바꾸면 부팅 시 외부보상 센싱이 그 시점 특성을 읽어 세션 고정(세트 보상계와 조합 시 설명 완결)</w:t>
            </w:r>
          </w:p>
        </w:tc>
      </w:tr>
      <w:tr>
        <w:tc>
          <w:tcPr>
            <w:tcW w:type="dxa" w:w="1814"/>
          </w:tcPr>
          <w:p>
            <w:r/>
            <w:r>
              <w:rPr>
                <w:rFonts w:ascii="맑은 고딕" w:hAnsi="맑은 고딕" w:eastAsia="맑은 고딕"/>
                <w:sz w:val="18"/>
              </w:rPr>
              <w:t>4 UV 리셋</w:t>
            </w:r>
          </w:p>
        </w:tc>
        <w:tc>
          <w:tcPr>
            <w:tcW w:type="dxa" w:w="7710"/>
          </w:tcPr>
          <w:p>
            <w:r/>
            <w:r>
              <w:rPr>
                <w:rFonts w:ascii="맑은 고딕" w:hAnsi="맑은 고딕" w:eastAsia="맑은 고딕"/>
                <w:sz w:val="18"/>
              </w:rPr>
              <w:t>잔류 개시제 라디칼의 O₂ 소거. 판별 지문 — 리셋 액션 스펙트럼 ↔ 광개시제 흡수 대역(통상 365~405 nm) 겹침</w:t>
            </w:r>
          </w:p>
        </w:tc>
      </w:tr>
      <w:tr>
        <w:tc>
          <w:tcPr>
            <w:tcW w:type="dxa" w:w="1814"/>
          </w:tcPr>
          <w:p>
            <w:r/>
            <w:r>
              <w:rPr>
                <w:rFonts w:ascii="맑은 고딕" w:hAnsi="맑은 고딕" w:eastAsia="맑은 고딕"/>
                <w:sz w:val="18"/>
              </w:rPr>
              <w:t>5 재발</w:t>
            </w:r>
          </w:p>
        </w:tc>
        <w:tc>
          <w:tcPr>
            <w:tcW w:type="dxa" w:w="7710"/>
          </w:tcPr>
          <w:p>
            <w:r/>
            <w:r>
              <w:rPr>
                <w:rFonts w:ascii="맑은 고딕" w:hAnsi="맑은 고딕" w:eastAsia="맑은 고딕"/>
                <w:sz w:val="18"/>
              </w:rPr>
              <w:t>에지로부터의 O₂ 재확산. 재발 시간 t_rec 은 확산 시간 스케일 L²/D 로 예측 가능하며 주변 산소 분압에 직접 의존 — 이것이 결정적 판별 실험(§5.2 D 레그)의 근거</w:t>
            </w:r>
          </w:p>
        </w:tc>
      </w:tr>
    </w:tbl>
    <w:p/>
    <w:p>
      <w:r>
        <w:rPr>
          <w:rFonts w:ascii="맑은 고딕" w:hAnsi="맑은 고딕" w:eastAsia="맑은 고딕"/>
          <w:b w:val="0"/>
          <w:i w:val="0"/>
        </w:rPr>
        <w:t>H1c 의 반증 조건은 두 가지다. 첫째, H1c 는 녹색도 어느 정도 소광될 것을 예측한다(녹색 역시 인광, τ₀ 가 µs 급). Phase 1 의 R/G/B 측정에서 녹색이 완전히 무영향이면 수명 차이만으로는 설명되지 않으므로, 발광층 스택 위치·호스트 재료의 O₂ 용해도·도판트 농도 같은 추가 인자로 보완하거나 H1c 를 하향한다. 둘째, 질소 보관에서 재발이 억제되지 않으면 H1c 는 기각된다.</w:t>
      </w:r>
    </w:p>
    <w:p>
      <w:pPr>
        <w:pStyle w:val="Heading2"/>
      </w:pPr>
      <w:r>
        <w:t>4.2 H1 계열의 대안 분기 — 재발 거동이 판별자</w:t>
      </w:r>
    </w:p>
    <w:p>
      <w:r>
        <w:rPr>
          <w:rFonts w:ascii="맑은 고딕" w:hAnsi="맑은 고딕" w:eastAsia="맑은 고딕"/>
          <w:b w:val="0"/>
          <w:i w:val="0"/>
        </w:rPr>
        <w:t>소광 주체와 UV 의 작용을 달리 두는 두 대안이 있다. 세 분기는 '리셋을 반복했을 때 재발 간격이 어떻게 변하는가'로 깨끗하게 갈린다.</w:t>
      </w:r>
    </w:p>
    <w:tbl>
      <w:tblPr>
        <w:tblStyle w:val="TableGrid"/>
        <w:tblW w:type="auto" w:w="0"/>
        <w:tblLook w:firstColumn="1" w:firstRow="1" w:lastColumn="0" w:lastRow="0" w:noHBand="0" w:noVBand="1" w:val="04A0"/>
      </w:tblPr>
      <w:tblGrid>
        <w:gridCol w:w="2880"/>
        <w:gridCol w:w="2880"/>
        <w:gridCol w:w="2880"/>
      </w:tblGrid>
      <w:tr>
        <w:tc>
          <w:tcPr>
            <w:tcW w:type="dxa" w:w="1474"/>
          </w:tcPr>
          <w:p>
            <w:r/>
            <w:r>
              <w:rPr>
                <w:rFonts w:ascii="맑은 고딕" w:hAnsi="맑은 고딕" w:eastAsia="맑은 고딕"/>
                <w:b/>
                <w:sz w:val="18"/>
              </w:rPr>
              <w:t>분기</w:t>
            </w:r>
          </w:p>
        </w:tc>
        <w:tc>
          <w:tcPr>
            <w:tcW w:type="dxa" w:w="3628"/>
          </w:tcPr>
          <w:p>
            <w:r/>
            <w:r>
              <w:rPr>
                <w:rFonts w:ascii="맑은 고딕" w:hAnsi="맑은 고딕" w:eastAsia="맑은 고딕"/>
                <w:b/>
                <w:sz w:val="18"/>
              </w:rPr>
              <w:t>소광 주체 / UV 의 작용</w:t>
            </w:r>
          </w:p>
        </w:tc>
        <w:tc>
          <w:tcPr>
            <w:tcW w:type="dxa" w:w="4422"/>
          </w:tcPr>
          <w:p>
            <w:r/>
            <w:r>
              <w:rPr>
                <w:rFonts w:ascii="맑은 고딕" w:hAnsi="맑은 고딕" w:eastAsia="맑은 고딕"/>
                <w:b/>
                <w:sz w:val="18"/>
              </w:rPr>
              <w:t>재발 예측(판별 지문)</w:t>
            </w:r>
          </w:p>
        </w:tc>
      </w:tr>
      <w:tr>
        <w:tc>
          <w:tcPr>
            <w:tcW w:type="dxa" w:w="1474"/>
          </w:tcPr>
          <w:p>
            <w:r/>
            <w:r>
              <w:rPr>
                <w:rFonts w:ascii="맑은 고딕" w:hAnsi="맑은 고딕" w:eastAsia="맑은 고딕"/>
                <w:sz w:val="18"/>
              </w:rPr>
              <w:t>H1c (주가설)</w:t>
            </w:r>
          </w:p>
        </w:tc>
        <w:tc>
          <w:tcPr>
            <w:tcW w:type="dxa" w:w="3628"/>
          </w:tcPr>
          <w:p>
            <w:r/>
            <w:r>
              <w:rPr>
                <w:rFonts w:ascii="맑은 고딕" w:hAnsi="맑은 고딕" w:eastAsia="맑은 고딕"/>
                <w:sz w:val="18"/>
              </w:rPr>
              <w:t>산소 자체 / 잔류 라디칼의 O₂ 소거</w:t>
            </w:r>
          </w:p>
        </w:tc>
        <w:tc>
          <w:tcPr>
            <w:tcW w:type="dxa" w:w="4422"/>
          </w:tcPr>
          <w:p>
            <w:r/>
            <w:r>
              <w:rPr>
                <w:rFonts w:ascii="맑은 고딕" w:hAnsi="맑은 고딕" w:eastAsia="맑은 고딕"/>
                <w:sz w:val="18"/>
              </w:rPr>
              <w:t>재발 간격 일정, 그리고 주변 O₂ 분압에 반비례. 질소 보관 시 재발 억제</w:t>
            </w:r>
          </w:p>
        </w:tc>
      </w:tr>
      <w:tr>
        <w:tc>
          <w:tcPr>
            <w:tcW w:type="dxa" w:w="1474"/>
          </w:tcPr>
          <w:p>
            <w:r/>
            <w:r>
              <w:rPr>
                <w:rFonts w:ascii="맑은 고딕" w:hAnsi="맑은 고딕" w:eastAsia="맑은 고딕"/>
                <w:sz w:val="18"/>
              </w:rPr>
              <w:t>H1a 저장소</w:t>
            </w:r>
          </w:p>
        </w:tc>
        <w:tc>
          <w:tcPr>
            <w:tcW w:type="dxa" w:w="3628"/>
          </w:tcPr>
          <w:p>
            <w:r/>
            <w:r>
              <w:rPr>
                <w:rFonts w:ascii="맑은 고딕" w:hAnsi="맑은 고딕" w:eastAsia="맑은 고딕"/>
                <w:sz w:val="18"/>
              </w:rPr>
              <w:t>미경화 OCA 유래 화학종 / 빛이 닿는 얕은 영역만 경화 완결</w:t>
            </w:r>
          </w:p>
        </w:tc>
        <w:tc>
          <w:tcPr>
            <w:tcW w:type="dxa" w:w="4422"/>
          </w:tcPr>
          <w:p>
            <w:r/>
            <w:r>
              <w:rPr>
                <w:rFonts w:ascii="맑은 고딕" w:hAnsi="맑은 고딕" w:eastAsia="맑은 고딕"/>
                <w:sz w:val="18"/>
              </w:rPr>
              <w:t>재발하되 리셋을 거듭할수록 간격이 단조 증가하고 결국 정지(저장소 고갈)</w:t>
            </w:r>
          </w:p>
        </w:tc>
      </w:tr>
      <w:tr>
        <w:tc>
          <w:tcPr>
            <w:tcW w:type="dxa" w:w="1474"/>
          </w:tcPr>
          <w:p>
            <w:r/>
            <w:r>
              <w:rPr>
                <w:rFonts w:ascii="맑은 고딕" w:hAnsi="맑은 고딕" w:eastAsia="맑은 고딕"/>
                <w:sz w:val="18"/>
              </w:rPr>
              <w:t>H1b 하류 해소</w:t>
            </w:r>
          </w:p>
        </w:tc>
        <w:tc>
          <w:tcPr>
            <w:tcW w:type="dxa" w:w="3628"/>
          </w:tcPr>
          <w:p>
            <w:r/>
            <w:r>
              <w:rPr>
                <w:rFonts w:ascii="맑은 고딕" w:hAnsi="맑은 고딕" w:eastAsia="맑은 고딕"/>
                <w:sz w:val="18"/>
              </w:rPr>
              <w:t>미경화 OCA 유래 화학종 / 계면 소광 부가물·상태의 광해리(소스는 잔존)</w:t>
            </w:r>
          </w:p>
        </w:tc>
        <w:tc>
          <w:tcPr>
            <w:tcW w:type="dxa" w:w="4422"/>
          </w:tcPr>
          <w:p>
            <w:r/>
            <w:r>
              <w:rPr>
                <w:rFonts w:ascii="맑은 고딕" w:hAnsi="맑은 고딕" w:eastAsia="맑은 고딕"/>
                <w:sz w:val="18"/>
              </w:rPr>
              <w:t>재발 간격 일정, 단 O₂ 분압 의존은 약함</w:t>
            </w:r>
          </w:p>
        </w:tc>
      </w:tr>
    </w:tbl>
    <w:p/>
    <w:p>
      <w:r>
        <w:rPr>
          <w:rFonts w:ascii="맑은 고딕" w:hAnsi="맑은 고딕" w:eastAsia="맑은 고딕"/>
          <w:b w:val="0"/>
          <w:i w:val="0"/>
        </w:rPr>
        <w:t>'UV 가 미경화분을 경화 완결시켜 소스를 제거하고, 이후 산소 재유입으로 재진행한다'는 경로는 성립하지 않는다. 경화는 모노머를 비가역적으로 소모하며, 산소는 경화를 저해할 뿐 소모된 모노머를 재생하지 못하기 때문이다. 재발(관측 5)과 양립하는 것은 위 세 분기뿐이며, 그중 소모되는 것이 없는 H1c 가 반복 재현성을 가장 적은 가정으로 설명한다.</w:t>
      </w:r>
    </w:p>
    <w:p>
      <w:pPr>
        <w:pStyle w:val="Heading2"/>
      </w:pPr>
      <w:r>
        <w:t>4.3 부가설</w:t>
      </w:r>
    </w:p>
    <w:p>
      <w:pPr>
        <w:pStyle w:val="ListBullet"/>
      </w:pPr>
      <w:r>
        <w:rPr>
          <w:rFonts w:ascii="맑은 고딕" w:hAnsi="맑은 고딕" w:eastAsia="맑은 고딕"/>
        </w:rPr>
        <w:t>H2 — 이동성 이온/트랩 전하의 라테랄 재분포(광 탈트랩으로 리셋). 부팅 래치 (b)와 자연 결합하며, 질소 보관에서도 재발이 계속되면 주가설로 승격되는 1순위 대안이다.</w:t>
      </w:r>
    </w:p>
    <w:p>
      <w:pPr>
        <w:pStyle w:val="ListBullet"/>
      </w:pPr>
      <w:r>
        <w:rPr>
          <w:rFonts w:ascii="맑은 고딕" w:hAnsi="맑은 고딕" w:eastAsia="맑은 고딕"/>
        </w:rPr>
        <w:t>H3 — 산소 매개 가역 포토다크닝(색변환·QD 층이 존재하는 구조에 한함).</w:t>
      </w:r>
    </w:p>
    <w:p>
      <w:pPr>
        <w:pStyle w:val="ListBullet"/>
      </w:pPr>
      <w:r>
        <w:rPr>
          <w:rFonts w:ascii="맑은 고딕" w:hAnsi="맑은 고딕" w:eastAsia="맑은 고딕"/>
        </w:rPr>
        <w:t>H4 — 봉지 에지 국부 침투와 가역 상태의 결합. H1c 는 사실상 H4 의 구체화된 형태이며, 차이는 '침투한 O₂ 가 화학적으로 파괴하는가(H4 고전형) vs 물리적으로 소광만 하는가(H1c)'다. 가역성 관측이 후자를 지지한다.</w:t>
      </w:r>
    </w:p>
    <w:p>
      <w:pPr>
        <w:pStyle w:val="ListBullet"/>
      </w:pPr>
      <w:r>
        <w:rPr>
          <w:rFonts w:ascii="맑은 고딕" w:hAnsi="맑은 고딕" w:eastAsia="맑은 고딕"/>
        </w:rPr>
        <w:t>H5 — 백플레인 NBIS 류 트랩(조건부). BM 차광 하의 TFT 에 전면 UV 가 도달하는 경로(측면 도광·사입사)의 정량 입증이 전제. 전면/배면 조사 비교로 판별.</w:t>
      </w:r>
    </w:p>
    <w:p>
      <w:pPr>
        <w:pStyle w:val="Heading2"/>
      </w:pPr>
      <w:r>
        <w:t>4.4 기하 가설(액자의 원인)</w:t>
      </w:r>
    </w:p>
    <w:tbl>
      <w:tblPr>
        <w:tblStyle w:val="TableGrid"/>
        <w:tblW w:type="auto" w:w="0"/>
        <w:tblLook w:firstColumn="1" w:firstRow="1" w:lastColumn="0" w:lastRow="0" w:noHBand="0" w:noVBand="1" w:val="04A0"/>
      </w:tblPr>
      <w:tblGrid>
        <w:gridCol w:w="2880"/>
        <w:gridCol w:w="2880"/>
        <w:gridCol w:w="2880"/>
      </w:tblGrid>
      <w:tr>
        <w:tc>
          <w:tcPr>
            <w:tcW w:type="dxa" w:w="680"/>
          </w:tcPr>
          <w:p>
            <w:r/>
            <w:r>
              <w:rPr>
                <w:rFonts w:ascii="맑은 고딕" w:hAnsi="맑은 고딕" w:eastAsia="맑은 고딕"/>
                <w:b/>
                <w:sz w:val="18"/>
              </w:rPr>
              <w:t>기호</w:t>
            </w:r>
          </w:p>
        </w:tc>
        <w:tc>
          <w:tcPr>
            <w:tcW w:type="dxa" w:w="4535"/>
          </w:tcPr>
          <w:p>
            <w:r/>
            <w:r>
              <w:rPr>
                <w:rFonts w:ascii="맑은 고딕" w:hAnsi="맑은 고딕" w:eastAsia="맑은 고딕"/>
                <w:b/>
                <w:sz w:val="18"/>
              </w:rPr>
              <w:t>내용</w:t>
            </w:r>
          </w:p>
        </w:tc>
        <w:tc>
          <w:tcPr>
            <w:tcW w:type="dxa" w:w="4309"/>
          </w:tcPr>
          <w:p>
            <w:r/>
            <w:r>
              <w:rPr>
                <w:rFonts w:ascii="맑은 고딕" w:hAnsi="맑은 고딕" w:eastAsia="맑은 고딕"/>
                <w:b/>
                <w:sz w:val="18"/>
              </w:rPr>
              <w:t>판별 예측</w:t>
            </w:r>
          </w:p>
        </w:tc>
      </w:tr>
      <w:tr>
        <w:tc>
          <w:tcPr>
            <w:tcW w:type="dxa" w:w="680"/>
          </w:tcPr>
          <w:p>
            <w:r/>
            <w:r>
              <w:rPr>
                <w:rFonts w:ascii="맑은 고딕" w:hAnsi="맑은 고딕" w:eastAsia="맑은 고딕"/>
                <w:sz w:val="18"/>
              </w:rPr>
              <w:t>A</w:t>
            </w:r>
          </w:p>
        </w:tc>
        <w:tc>
          <w:tcPr>
            <w:tcW w:type="dxa" w:w="4535"/>
          </w:tcPr>
          <w:p>
            <w:r/>
            <w:r>
              <w:rPr>
                <w:rFonts w:ascii="맑은 고딕" w:hAnsi="맑은 고딕" w:eastAsia="맑은 고딕"/>
                <w:sz w:val="18"/>
              </w:rPr>
              <w:t>에지에서 내향 확산하는 억제종</w:t>
            </w:r>
          </w:p>
        </w:tc>
        <w:tc>
          <w:tcPr>
            <w:tcW w:type="dxa" w:w="4309"/>
          </w:tcPr>
          <w:p>
            <w:r/>
            <w:r>
              <w:rPr>
                <w:rFonts w:ascii="맑은 고딕" w:hAnsi="맑은 고딕" w:eastAsia="맑은 고딕"/>
                <w:sz w:val="18"/>
              </w:rPr>
              <w:t>액자 폭 w(t) ∝ √t 성장, 외광량과 무관, 에지 실링 시 정지</w:t>
            </w:r>
          </w:p>
        </w:tc>
      </w:tr>
      <w:tr>
        <w:tc>
          <w:tcPr>
            <w:tcW w:type="dxa" w:w="680"/>
          </w:tcPr>
          <w:p>
            <w:r/>
            <w:r>
              <w:rPr>
                <w:rFonts w:ascii="맑은 고딕" w:hAnsi="맑은 고딕" w:eastAsia="맑은 고딕"/>
                <w:sz w:val="18"/>
              </w:rPr>
              <w:t>B</w:t>
            </w:r>
          </w:p>
        </w:tc>
        <w:tc>
          <w:tcPr>
            <w:tcW w:type="dxa" w:w="4535"/>
          </w:tcPr>
          <w:p>
            <w:r/>
            <w:r>
              <w:rPr>
                <w:rFonts w:ascii="맑은 고딕" w:hAnsi="맑은 고딕" w:eastAsia="맑은 고딕"/>
                <w:sz w:val="18"/>
              </w:rPr>
              <w:t>억제는 전면 균일, 외광 재활성화가 중앙 집중(에지 차광·곡면부 투과 저하)</w:t>
            </w:r>
          </w:p>
        </w:tc>
        <w:tc>
          <w:tcPr>
            <w:tcW w:type="dxa" w:w="4309"/>
          </w:tcPr>
          <w:p>
            <w:r/>
            <w:r>
              <w:rPr>
                <w:rFonts w:ascii="맑은 고딕" w:hAnsi="맑은 고딕" w:eastAsia="맑은 고딕"/>
                <w:sz w:val="18"/>
              </w:rPr>
              <w:t>외광량에 따라 폭이 요동, 암실 방치 시 전면 균일화</w:t>
            </w:r>
          </w:p>
        </w:tc>
      </w:tr>
      <w:tr>
        <w:tc>
          <w:tcPr>
            <w:tcW w:type="dxa" w:w="680"/>
          </w:tcPr>
          <w:p>
            <w:r/>
            <w:r>
              <w:rPr>
                <w:rFonts w:ascii="맑은 고딕" w:hAnsi="맑은 고딕" w:eastAsia="맑은 고딕"/>
                <w:sz w:val="18"/>
              </w:rPr>
              <w:t>C</w:t>
            </w:r>
          </w:p>
        </w:tc>
        <w:tc>
          <w:tcPr>
            <w:tcW w:type="dxa" w:w="4535"/>
          </w:tcPr>
          <w:p>
            <w:r/>
            <w:r>
              <w:rPr>
                <w:rFonts w:ascii="맑은 고딕" w:hAnsi="맑은 고딕" w:eastAsia="맑은 고딕"/>
                <w:sz w:val="18"/>
              </w:rPr>
              <w:t>OCA/CF/BM 공정 에지 프로파일(에지 비드·현상 잔사·베이크 구배) 기원</w:t>
            </w:r>
          </w:p>
        </w:tc>
        <w:tc>
          <w:tcPr>
            <w:tcW w:type="dxa" w:w="4309"/>
          </w:tcPr>
          <w:p>
            <w:r/>
            <w:r>
              <w:rPr>
                <w:rFonts w:ascii="맑은 고딕" w:hAnsi="맑은 고딕" w:eastAsia="맑은 고딕"/>
                <w:sz w:val="18"/>
              </w:rPr>
              <w:t>폭이 시간에 대해 고정적, 로트·좌표 재현성 존재</w:t>
            </w:r>
          </w:p>
        </w:tc>
      </w:tr>
    </w:tbl>
    <w:p/>
    <w:p>
      <w:pPr>
        <w:pStyle w:val="Heading2"/>
      </w:pPr>
      <w:r>
        <w:t>4.5 산소의 삼중 역할 — 시험 설계의 축</w:t>
      </w:r>
    </w:p>
    <w:p>
      <w:r>
        <w:rPr>
          <w:rFonts w:ascii="맑은 고딕" w:hAnsi="맑은 고딕" w:eastAsia="맑은 고딕"/>
          <w:b w:val="0"/>
          <w:i w:val="0"/>
        </w:rPr>
        <w:t>H1c 에서 산소는 서로 다른 세 시점에 세 역할로 등장하며, 각 역할마다 검증 수단이 다르다.</w:t>
      </w:r>
    </w:p>
    <w:tbl>
      <w:tblPr>
        <w:tblStyle w:val="TableGrid"/>
        <w:tblW w:type="auto" w:w="0"/>
        <w:tblLook w:firstColumn="1" w:firstRow="1" w:lastColumn="0" w:lastRow="0" w:noHBand="0" w:noVBand="1" w:val="04A0"/>
      </w:tblPr>
      <w:tblGrid>
        <w:gridCol w:w="2880"/>
        <w:gridCol w:w="2880"/>
        <w:gridCol w:w="2880"/>
      </w:tblGrid>
      <w:tr>
        <w:tc>
          <w:tcPr>
            <w:tcW w:type="dxa" w:w="1474"/>
          </w:tcPr>
          <w:p>
            <w:r/>
            <w:r>
              <w:rPr>
                <w:rFonts w:ascii="맑은 고딕" w:hAnsi="맑은 고딕" w:eastAsia="맑은 고딕"/>
                <w:b/>
                <w:sz w:val="18"/>
              </w:rPr>
              <w:t>역할</w:t>
            </w:r>
          </w:p>
        </w:tc>
        <w:tc>
          <w:tcPr>
            <w:tcW w:type="dxa" w:w="4309"/>
          </w:tcPr>
          <w:p>
            <w:r/>
            <w:r>
              <w:rPr>
                <w:rFonts w:ascii="맑은 고딕" w:hAnsi="맑은 고딕" w:eastAsia="맑은 고딕"/>
                <w:b/>
                <w:sz w:val="18"/>
              </w:rPr>
              <w:t>내용</w:t>
            </w:r>
          </w:p>
        </w:tc>
        <w:tc>
          <w:tcPr>
            <w:tcW w:type="dxa" w:w="3742"/>
          </w:tcPr>
          <w:p>
            <w:r/>
            <w:r>
              <w:rPr>
                <w:rFonts w:ascii="맑은 고딕" w:hAnsi="맑은 고딕" w:eastAsia="맑은 고딕"/>
                <w:b/>
                <w:sz w:val="18"/>
              </w:rPr>
              <w:t>본 계획에서의 검증 수단</w:t>
            </w:r>
          </w:p>
        </w:tc>
      </w:tr>
      <w:tr>
        <w:tc>
          <w:tcPr>
            <w:tcW w:type="dxa" w:w="1474"/>
          </w:tcPr>
          <w:p>
            <w:r/>
            <w:r>
              <w:rPr>
                <w:rFonts w:ascii="맑은 고딕" w:hAnsi="맑은 고딕" w:eastAsia="맑은 고딕"/>
                <w:sz w:val="18"/>
              </w:rPr>
              <w:t>(i) 경화 저해자</w:t>
            </w:r>
          </w:p>
        </w:tc>
        <w:tc>
          <w:tcPr>
            <w:tcW w:type="dxa" w:w="4309"/>
          </w:tcPr>
          <w:p>
            <w:r/>
            <w:r>
              <w:rPr>
                <w:rFonts w:ascii="맑은 고딕" w:hAnsi="맑은 고딕" w:eastAsia="맑은 고딕"/>
                <w:sz w:val="18"/>
              </w:rPr>
              <w:t>라미 경화 시점에 라디칼을 소모해 에지 미경화 존을 만든 원인. 과거 시점이며 라미 공정은 업체 관할이라 직접 재현 불가</w:t>
            </w:r>
          </w:p>
        </w:tc>
        <w:tc>
          <w:tcPr>
            <w:tcW w:type="dxa" w:w="3742"/>
          </w:tcPr>
          <w:p>
            <w:r/>
            <w:r>
              <w:rPr>
                <w:rFonts w:ascii="맑은 고딕" w:hAnsi="맑은 고딕" w:eastAsia="맑은 고딕"/>
                <w:sz w:val="18"/>
              </w:rPr>
              <w:t>UV 후경화 처리군(§5.2)과 로트 상관(§5.5)으로 간접 검증</w:t>
            </w:r>
          </w:p>
        </w:tc>
      </w:tr>
      <w:tr>
        <w:tc>
          <w:tcPr>
            <w:tcW w:type="dxa" w:w="1474"/>
          </w:tcPr>
          <w:p>
            <w:r/>
            <w:r>
              <w:rPr>
                <w:rFonts w:ascii="맑은 고딕" w:hAnsi="맑은 고딕" w:eastAsia="맑은 고딕"/>
                <w:sz w:val="18"/>
              </w:rPr>
              <w:t>(ii) 소광자</w:t>
            </w:r>
          </w:p>
        </w:tc>
        <w:tc>
          <w:tcPr>
            <w:tcW w:type="dxa" w:w="4309"/>
          </w:tcPr>
          <w:p>
            <w:r/>
            <w:r>
              <w:rPr>
                <w:rFonts w:ascii="맑은 고딕" w:hAnsi="맑은 고딕" w:eastAsia="맑은 고딕"/>
                <w:sz w:val="18"/>
              </w:rPr>
              <w:t>사용 시점에 발광층에 도달해 인광 여기자를 물리적으로 소광 — 본 현상의 직접 원인</w:t>
            </w:r>
          </w:p>
        </w:tc>
        <w:tc>
          <w:tcPr>
            <w:tcW w:type="dxa" w:w="3742"/>
          </w:tcPr>
          <w:p>
            <w:r/>
            <w:r>
              <w:rPr>
                <w:rFonts w:ascii="맑은 고딕" w:hAnsi="맑은 고딕" w:eastAsia="맑은 고딕"/>
                <w:sz w:val="18"/>
              </w:rPr>
              <w:t>방치 시험 전체 + 리셋-재발 사이클 레그(§5.2 D)가 정조준</w:t>
            </w:r>
          </w:p>
        </w:tc>
      </w:tr>
      <w:tr>
        <w:tc>
          <w:tcPr>
            <w:tcW w:type="dxa" w:w="1474"/>
          </w:tcPr>
          <w:p>
            <w:r/>
            <w:r>
              <w:rPr>
                <w:rFonts w:ascii="맑은 고딕" w:hAnsi="맑은 고딕" w:eastAsia="맑은 고딕"/>
                <w:sz w:val="18"/>
              </w:rPr>
              <w:t>(iii) 화학 공격자</w:t>
            </w:r>
          </w:p>
        </w:tc>
        <w:tc>
          <w:tcPr>
            <w:tcW w:type="dxa" w:w="4309"/>
          </w:tcPr>
          <w:p>
            <w:r/>
            <w:r>
              <w:rPr>
                <w:rFonts w:ascii="맑은 고딕" w:hAnsi="맑은 고딕" w:eastAsia="맑은 고딕"/>
                <w:sz w:val="18"/>
              </w:rPr>
              <w:t>소광 과정의 에너지 전이로 생성된 일중항 산소(¹O₂, 0.98 eV)가 발광 재료·호스트를 공격해 영구 열화로 전이</w:t>
            </w:r>
          </w:p>
        </w:tc>
        <w:tc>
          <w:tcPr>
            <w:tcW w:type="dxa" w:w="3742"/>
          </w:tcPr>
          <w:p>
            <w:r/>
            <w:r>
              <w:rPr>
                <w:rFonts w:ascii="맑은 고딕" w:hAnsi="맑은 고딕" w:eastAsia="맑은 고딕"/>
                <w:sz w:val="18"/>
              </w:rPr>
              <w:t>장시간 방치군의 UV 리셋 회복률 추적 — 회복률이 100 % 에 못 미치기 시작하는 시점이 가역 구간의 끝</w:t>
            </w:r>
          </w:p>
        </w:tc>
      </w:tr>
    </w:tbl>
    <w:p/>
    <w:p>
      <w:r>
        <w:rPr>
          <w:rFonts w:ascii="맑은 고딕" w:hAnsi="맑은 고딕" w:eastAsia="맑은 고딕"/>
          <w:b w:val="0"/>
          <w:i w:val="0"/>
        </w:rPr>
        <w:t>(iii)이 뜻하는 바는 '되돌아오니 괜찮다'가 아니라 가역 구간에 시한이 있다는 것이다. 소광 노출이 누적될수록 비가역 성분이 쌓이므로, 필드 방치 기간이 길어질수록 회수 가능한 개체 비율이 떨어진다. 조치 시급성의 근거이자, 시험에서 '완전 회복 여부'를 매 판독에 기록해야 하는 이유다.</w:t>
      </w:r>
    </w:p>
    <w:p>
      <w:pPr>
        <w:pStyle w:val="Heading1"/>
      </w:pPr>
      <w:r>
        <w:t>5. 시험 계획 (모듈 단위)</w:t>
      </w:r>
    </w:p>
    <w:p>
      <w:pPr>
        <w:pStyle w:val="Heading2"/>
      </w:pPr>
      <w:r>
        <w:t>5.1 공통 SOP — 모든 Phase 에 적용</w:t>
      </w:r>
    </w:p>
    <w:p>
      <w:pPr>
        <w:pStyle w:val="ListBullet"/>
      </w:pPr>
      <w:r>
        <w:rPr>
          <w:rFonts w:ascii="맑은 고딕" w:hAnsi="맑은 고딕" w:eastAsia="맑은 고딕"/>
        </w:rPr>
        <w:t>분압 제어: 산소 도스는 총압이 아니라 산소 분압으로 설계한다(헨리 법칙, 용존 농도 ∝ pO₂). 총압 1 atm 혼합기체(N₂ 희석)로 O₂ 0 / 21 / 100 % 3수준을 기본으로 하고, 범위 확장용 고분압(예: 2~3 atm pO₂) 1레그만 추가한다. 고압 공기 챔버는 산소 도스와 기계 효과(OCA 보이드 압착)를 혼입시키므로 지양한다.</w:t>
      </w:r>
    </w:p>
    <w:p>
      <w:pPr>
        <w:pStyle w:val="ListBullet"/>
      </w:pPr>
      <w:r>
        <w:rPr>
          <w:rFonts w:ascii="맑은 고딕" w:hAnsi="맑은 고딕" w:eastAsia="맑은 고딕"/>
        </w:rPr>
        <w:t>암실 방치: pol-less 스택은 외광이 리셋 인자다. 챔버·보관·이송 전 구간 차광. 판독 시 조명 노출 시간 기록.</w:t>
      </w:r>
    </w:p>
    <w:p>
      <w:pPr>
        <w:pStyle w:val="ListBullet"/>
      </w:pPr>
      <w:r>
        <w:rPr>
          <w:rFonts w:ascii="맑은 고딕" w:hAnsi="맑은 고딕" w:eastAsia="맑은 고딕"/>
        </w:rPr>
        <w:t>이송 시간 고정: 폴리머 내 O₂ 확산계수 10⁻⁷~10⁻⁸ cm²/s 급(경험칙)으로 박막 용존 산소는 수 시간 내 재평형된다. 챔버 반출 → 판독 개시까지 시간을 고정(권장 30분 이내)하고 로그로 남긴다.</w:t>
      </w:r>
    </w:p>
    <w:p>
      <w:pPr>
        <w:pStyle w:val="ListBullet"/>
      </w:pPr>
      <w:r>
        <w:rPr>
          <w:rFonts w:ascii="맑은 고딕" w:hAnsi="맑은 고딕" w:eastAsia="맑은 고딕"/>
        </w:rPr>
        <w:t>콜드부트 프로토콜: 부팅 래치(관측 3) 때문에 판독 전 전원 이력이 숨은 변수다. 판독 직전 오프 체류 시간과 부트 횟수를 고정(권장: 오프 1 h → 단일 콜드부트 → 워밍업 10분 → 측정)하고 부트 이벤트를 기록한다.</w:t>
      </w:r>
    </w:p>
    <w:p>
      <w:pPr>
        <w:pStyle w:val="ListBullet"/>
      </w:pPr>
      <w:r>
        <w:rPr>
          <w:rFonts w:ascii="맑은 고딕" w:hAnsi="맑은 고딕" w:eastAsia="맑은 고딕"/>
        </w:rPr>
        <w:t>UV 선량 상한: UV 리셋·후경화 조사는 2차 열화(유기층 광산화) 방지를 위해 선량 상한을 사전 규정하고 (액션 스펙트럼 시험에서 도출), 조사 이력을 개체별로 관리한다.</w:t>
      </w:r>
    </w:p>
    <w:p>
      <w:pPr>
        <w:pStyle w:val="ListBullet"/>
      </w:pPr>
      <w:r>
        <w:rPr>
          <w:rFonts w:ascii="맑은 고딕" w:hAnsi="맑은 고딕" w:eastAsia="맑은 고딕"/>
        </w:rPr>
        <w:t>판독 항목: ① 이미징 색채계 Δu'v' 맵(G32/G64 × DBV 저·중 2점)과 액자 폭 w — 4변 개별 + 코너 형상, ② 적색 EL 프로파일, ③ UV 리셋 가능 여부(가역/비가역 분류기 — 모든 레그 공통), ④ 가능 시 J-V(모듈 커넥터), ⑤ PL 맵(윈도우 통과 광여기 — PL 에도 액자가 보이면 발광층 상태, PL 정상 + EL 만 액자면 주입/트랩).</w:t>
      </w:r>
    </w:p>
    <w:p>
      <w:pPr>
        <w:pStyle w:val="ListBullet"/>
      </w:pPr>
      <w:r>
        <w:rPr>
          <w:rFonts w:ascii="맑은 고딕" w:hAnsi="맑은 고딕" w:eastAsia="맑은 고딕"/>
        </w:rPr>
        <w:t>가역/비가역 분류기: 습도 레그에서 특히 중요하다. 방치 후 UV 리셋이 성립하면 본 현상(가역 모드), 불성립하면 고전적 수분 손상(비가역)으로 별도 분류한다. 이 한 판정이 시험 전체를 두 기전 장부로 자동 분리한다.</w:t>
      </w:r>
    </w:p>
    <w:p>
      <w:pPr>
        <w:pStyle w:val="ListBullet"/>
      </w:pPr>
      <w:r>
        <w:rPr>
          <w:rFonts w:ascii="맑은 고딕" w:hAnsi="맑은 고딕" w:eastAsia="맑은 고딕"/>
        </w:rPr>
        <w:t>안전: 100 % O₂ 챔버는 화재 안전 등급·발화원 관리 확인 필수. 고온 레그는 모듈 내열 상한(OCA·편광 무관 구조라도 통상 60~85 ℃ 급, 사양 확인) 이내로 제한한다.</w:t>
      </w:r>
    </w:p>
    <w:p>
      <w:pPr>
        <w:pStyle w:val="Heading2"/>
      </w:pPr>
      <w:r>
        <w:t>5.2 Phase 1 — 스크리닝 (약 2~3주)</w:t>
      </w:r>
    </w:p>
    <w:p>
      <w:r>
        <w:rPr>
          <w:rFonts w:ascii="맑은 고딕" w:hAnsi="맑은 고딕" w:eastAsia="맑은 고딕"/>
          <w:b w:val="0"/>
          <w:i w:val="0"/>
        </w:rPr>
        <w:t>산소 재유입 경로의 존재와 크기를 확정하고, 산소의 세 역할 중 (ii) 소광자를 분리한다. 단일 온도(45 ℃ 권장), 건조 조건에서 두 개의 레그를 병행한다.</w:t>
      </w:r>
    </w:p>
    <w:p>
      <w:r>
        <w:rPr>
          <w:rFonts w:ascii="맑은 고딕" w:hAnsi="맑은 고딕" w:eastAsia="맑은 고딕"/>
          <w:b/>
          <w:i w:val="0"/>
        </w:rPr>
        <w:t>가. 방치 스크리닝 레그 — 3 × 2 × 2 요인 설계</w:t>
      </w:r>
    </w:p>
    <w:tbl>
      <w:tblPr>
        <w:tblStyle w:val="TableGrid"/>
        <w:tblW w:type="auto" w:w="0"/>
        <w:tblLook w:firstColumn="1" w:firstRow="1" w:lastColumn="0" w:lastRow="0" w:noHBand="0" w:noVBand="1" w:val="04A0"/>
      </w:tblPr>
      <w:tblGrid>
        <w:gridCol w:w="2880"/>
        <w:gridCol w:w="2880"/>
        <w:gridCol w:w="2880"/>
      </w:tblGrid>
      <w:tr>
        <w:tc>
          <w:tcPr>
            <w:tcW w:type="dxa" w:w="1701"/>
          </w:tcPr>
          <w:p>
            <w:r/>
            <w:r>
              <w:rPr>
                <w:rFonts w:ascii="맑은 고딕" w:hAnsi="맑은 고딕" w:eastAsia="맑은 고딕"/>
                <w:b/>
                <w:sz w:val="18"/>
              </w:rPr>
              <w:t>인자</w:t>
            </w:r>
          </w:p>
        </w:tc>
        <w:tc>
          <w:tcPr>
            <w:tcW w:type="dxa" w:w="3969"/>
          </w:tcPr>
          <w:p>
            <w:r/>
            <w:r>
              <w:rPr>
                <w:rFonts w:ascii="맑은 고딕" w:hAnsi="맑은 고딕" w:eastAsia="맑은 고딕"/>
                <w:b/>
                <w:sz w:val="18"/>
              </w:rPr>
              <w:t>수준</w:t>
            </w:r>
          </w:p>
        </w:tc>
        <w:tc>
          <w:tcPr>
            <w:tcW w:type="dxa" w:w="3855"/>
          </w:tcPr>
          <w:p>
            <w:r/>
            <w:r>
              <w:rPr>
                <w:rFonts w:ascii="맑은 고딕" w:hAnsi="맑은 고딕" w:eastAsia="맑은 고딕"/>
                <w:b/>
                <w:sz w:val="18"/>
              </w:rPr>
              <w:t>비고</w:t>
            </w:r>
          </w:p>
        </w:tc>
      </w:tr>
      <w:tr>
        <w:tc>
          <w:tcPr>
            <w:tcW w:type="dxa" w:w="1701"/>
          </w:tcPr>
          <w:p>
            <w:r/>
            <w:r>
              <w:rPr>
                <w:rFonts w:ascii="맑은 고딕" w:hAnsi="맑은 고딕" w:eastAsia="맑은 고딕"/>
                <w:sz w:val="18"/>
              </w:rPr>
              <w:t>분위기</w:t>
            </w:r>
          </w:p>
        </w:tc>
        <w:tc>
          <w:tcPr>
            <w:tcW w:type="dxa" w:w="3969"/>
          </w:tcPr>
          <w:p>
            <w:r/>
            <w:r>
              <w:rPr>
                <w:rFonts w:ascii="맑은 고딕" w:hAnsi="맑은 고딕" w:eastAsia="맑은 고딕"/>
                <w:sz w:val="18"/>
              </w:rPr>
              <w:t>N₂(0 %) / 공기(21 %) / O₂(100 %)</w:t>
            </w:r>
          </w:p>
        </w:tc>
        <w:tc>
          <w:tcPr>
            <w:tcW w:type="dxa" w:w="3855"/>
          </w:tcPr>
          <w:p>
            <w:r/>
            <w:r>
              <w:rPr>
                <w:rFonts w:ascii="맑은 고딕" w:hAnsi="맑은 고딕" w:eastAsia="맑은 고딕"/>
                <w:sz w:val="18"/>
              </w:rPr>
              <w:t>총압 1 atm, 건조</w:t>
            </w:r>
          </w:p>
        </w:tc>
      </w:tr>
      <w:tr>
        <w:tc>
          <w:tcPr>
            <w:tcW w:type="dxa" w:w="1701"/>
          </w:tcPr>
          <w:p>
            <w:r/>
            <w:r>
              <w:rPr>
                <w:rFonts w:ascii="맑은 고딕" w:hAnsi="맑은 고딕" w:eastAsia="맑은 고딕"/>
                <w:sz w:val="18"/>
              </w:rPr>
              <w:t>에지 실링</w:t>
            </w:r>
          </w:p>
        </w:tc>
        <w:tc>
          <w:tcPr>
            <w:tcW w:type="dxa" w:w="3969"/>
          </w:tcPr>
          <w:p>
            <w:r/>
            <w:r>
              <w:rPr>
                <w:rFonts w:ascii="맑은 고딕" w:hAnsi="맑은 고딕" w:eastAsia="맑은 고딕"/>
                <w:sz w:val="18"/>
              </w:rPr>
              <w:t>무 / 유(모듈 테두리 배리어 실런트)</w:t>
            </w:r>
          </w:p>
        </w:tc>
        <w:tc>
          <w:tcPr>
            <w:tcW w:type="dxa" w:w="3855"/>
          </w:tcPr>
          <w:p>
            <w:r/>
            <w:r>
              <w:rPr>
                <w:rFonts w:ascii="맑은 고딕" w:hAnsi="맑은 고딕" w:eastAsia="맑은 고딕"/>
                <w:sz w:val="18"/>
              </w:rPr>
              <w:t>재유입 경로 차단 대조 — 모듈 상태에서 시공 가능</w:t>
            </w:r>
          </w:p>
        </w:tc>
      </w:tr>
      <w:tr>
        <w:tc>
          <w:tcPr>
            <w:tcW w:type="dxa" w:w="1701"/>
          </w:tcPr>
          <w:p>
            <w:r/>
            <w:r>
              <w:rPr>
                <w:rFonts w:ascii="맑은 고딕" w:hAnsi="맑은 고딕" w:eastAsia="맑은 고딕"/>
                <w:sz w:val="18"/>
              </w:rPr>
              <w:t>UV 후경화</w:t>
            </w:r>
          </w:p>
        </w:tc>
        <w:tc>
          <w:tcPr>
            <w:tcW w:type="dxa" w:w="3969"/>
          </w:tcPr>
          <w:p>
            <w:r/>
            <w:r>
              <w:rPr>
                <w:rFonts w:ascii="맑은 고딕" w:hAnsi="맑은 고딕" w:eastAsia="맑은 고딕"/>
                <w:sz w:val="18"/>
              </w:rPr>
              <w:t>무 / 유(전면 고선량 조사로 미경화분 경화 완결)</w:t>
            </w:r>
          </w:p>
        </w:tc>
        <w:tc>
          <w:tcPr>
            <w:tcW w:type="dxa" w:w="3855"/>
          </w:tcPr>
          <w:p>
            <w:r/>
            <w:r>
              <w:rPr>
                <w:rFonts w:ascii="맑은 고딕" w:hAnsi="맑은 고딕" w:eastAsia="맑은 고딕"/>
                <w:sz w:val="18"/>
              </w:rPr>
              <w:t>경화 단계 시험 불가의 대체 전략 — 산소 역할 (i) 간접 검증</w:t>
            </w:r>
          </w:p>
        </w:tc>
      </w:tr>
      <w:tr>
        <w:tc>
          <w:tcPr>
            <w:tcW w:type="dxa" w:w="1701"/>
          </w:tcPr>
          <w:p>
            <w:r/>
            <w:r>
              <w:rPr>
                <w:rFonts w:ascii="맑은 고딕" w:hAnsi="맑은 고딕" w:eastAsia="맑은 고딕"/>
                <w:sz w:val="18"/>
              </w:rPr>
              <w:t>복제수</w:t>
            </w:r>
          </w:p>
        </w:tc>
        <w:tc>
          <w:tcPr>
            <w:tcW w:type="dxa" w:w="3969"/>
          </w:tcPr>
          <w:p>
            <w:r/>
            <w:r>
              <w:rPr>
                <w:rFonts w:ascii="맑은 고딕" w:hAnsi="맑은 고딕" w:eastAsia="맑은 고딕"/>
                <w:sz w:val="18"/>
              </w:rPr>
              <w:t>조합당 n ≥ 5</w:t>
            </w:r>
          </w:p>
        </w:tc>
        <w:tc>
          <w:tcPr>
            <w:tcW w:type="dxa" w:w="3855"/>
          </w:tcPr>
          <w:p>
            <w:r/>
            <w:r>
              <w:rPr>
                <w:rFonts w:ascii="맑은 고딕" w:hAnsi="맑은 고딕" w:eastAsia="맑은 고딕"/>
                <w:sz w:val="18"/>
              </w:rPr>
              <w:t>3 × 2 × 2 = 12조합, 총 60대 + 예비</w:t>
            </w:r>
          </w:p>
        </w:tc>
      </w:tr>
    </w:tbl>
    <w:p/>
    <w:p>
      <w:r>
        <w:rPr>
          <w:rFonts w:ascii="맑은 고딕" w:hAnsi="맑은 고딕" w:eastAsia="맑은 고딕"/>
          <w:b/>
          <w:i w:val="0"/>
        </w:rPr>
        <w:t>나. 리셋-재발 사이클 레그 — 주가설의 결정적 판별</w:t>
      </w:r>
    </w:p>
    <w:p>
      <w:r>
        <w:rPr>
          <w:rFonts w:ascii="맑은 고딕" w:hAnsi="맑은 고딕" w:eastAsia="맑은 고딕"/>
          <w:b w:val="0"/>
          <w:i w:val="0"/>
        </w:rPr>
        <w:t>이미 액자가 형성된 개체(필드 회수품 또는 가속 형성품)를 UV 로 리셋해 회복을 확인한 직후, 세 분위기에 나누어 보관하며 재발 시점과 재성장 속도를 추적한다. 동일 개체에 리셋-재발을 3~5회 반복해 사이클 간 변화를 본다. 소광 주체가 산소인지 여부를 단일 시험으로 판정하는 가장 직접적인 경로다.</w:t>
      </w:r>
    </w:p>
    <w:tbl>
      <w:tblPr>
        <w:tblStyle w:val="TableGrid"/>
        <w:tblW w:type="auto" w:w="0"/>
        <w:tblLook w:firstColumn="1" w:firstRow="1" w:lastColumn="0" w:lastRow="0" w:noHBand="0" w:noVBand="1" w:val="04A0"/>
      </w:tblPr>
      <w:tblGrid>
        <w:gridCol w:w="2880"/>
        <w:gridCol w:w="2880"/>
        <w:gridCol w:w="2880"/>
      </w:tblGrid>
      <w:tr>
        <w:tc>
          <w:tcPr>
            <w:tcW w:type="dxa" w:w="2041"/>
          </w:tcPr>
          <w:p>
            <w:r/>
            <w:r>
              <w:rPr>
                <w:rFonts w:ascii="맑은 고딕" w:hAnsi="맑은 고딕" w:eastAsia="맑은 고딕"/>
                <w:b/>
                <w:sz w:val="18"/>
              </w:rPr>
              <w:t>인자</w:t>
            </w:r>
          </w:p>
        </w:tc>
        <w:tc>
          <w:tcPr>
            <w:tcW w:type="dxa" w:w="3175"/>
          </w:tcPr>
          <w:p>
            <w:r/>
            <w:r>
              <w:rPr>
                <w:rFonts w:ascii="맑은 고딕" w:hAnsi="맑은 고딕" w:eastAsia="맑은 고딕"/>
                <w:b/>
                <w:sz w:val="18"/>
              </w:rPr>
              <w:t>수준</w:t>
            </w:r>
          </w:p>
        </w:tc>
        <w:tc>
          <w:tcPr>
            <w:tcW w:type="dxa" w:w="4309"/>
          </w:tcPr>
          <w:p>
            <w:r/>
            <w:r>
              <w:rPr>
                <w:rFonts w:ascii="맑은 고딕" w:hAnsi="맑은 고딕" w:eastAsia="맑은 고딕"/>
                <w:b/>
                <w:sz w:val="18"/>
              </w:rPr>
              <w:t>판독</w:t>
            </w:r>
          </w:p>
        </w:tc>
      </w:tr>
      <w:tr>
        <w:tc>
          <w:tcPr>
            <w:tcW w:type="dxa" w:w="2041"/>
          </w:tcPr>
          <w:p>
            <w:r/>
            <w:r>
              <w:rPr>
                <w:rFonts w:ascii="맑은 고딕" w:hAnsi="맑은 고딕" w:eastAsia="맑은 고딕"/>
                <w:sz w:val="18"/>
              </w:rPr>
              <w:t>리셋 후 보관 분위기</w:t>
            </w:r>
          </w:p>
        </w:tc>
        <w:tc>
          <w:tcPr>
            <w:tcW w:type="dxa" w:w="3175"/>
          </w:tcPr>
          <w:p>
            <w:r/>
            <w:r>
              <w:rPr>
                <w:rFonts w:ascii="맑은 고딕" w:hAnsi="맑은 고딕" w:eastAsia="맑은 고딕"/>
                <w:sz w:val="18"/>
              </w:rPr>
              <w:t>N₂ / 공기 / O₂(100 %), 각 n ≥ 5</w:t>
            </w:r>
          </w:p>
        </w:tc>
        <w:tc>
          <w:tcPr>
            <w:tcW w:type="dxa" w:w="4309"/>
          </w:tcPr>
          <w:p>
            <w:r/>
            <w:r>
              <w:rPr>
                <w:rFonts w:ascii="맑은 고딕" w:hAnsi="맑은 고딕" w:eastAsia="맑은 고딕"/>
                <w:sz w:val="18"/>
              </w:rPr>
              <w:t>재발 개시 시점 t_rec, 재성장 초기 속도 dw/dt</w:t>
            </w:r>
          </w:p>
        </w:tc>
      </w:tr>
      <w:tr>
        <w:tc>
          <w:tcPr>
            <w:tcW w:type="dxa" w:w="2041"/>
          </w:tcPr>
          <w:p>
            <w:r/>
            <w:r>
              <w:rPr>
                <w:rFonts w:ascii="맑은 고딕" w:hAnsi="맑은 고딕" w:eastAsia="맑은 고딕"/>
                <w:sz w:val="18"/>
              </w:rPr>
              <w:t>리셋 사이클</w:t>
            </w:r>
          </w:p>
        </w:tc>
        <w:tc>
          <w:tcPr>
            <w:tcW w:type="dxa" w:w="3175"/>
          </w:tcPr>
          <w:p>
            <w:r/>
            <w:r>
              <w:rPr>
                <w:rFonts w:ascii="맑은 고딕" w:hAnsi="맑은 고딕" w:eastAsia="맑은 고딕"/>
                <w:sz w:val="18"/>
              </w:rPr>
              <w:t>동일 개체 3~5회 반복</w:t>
            </w:r>
          </w:p>
        </w:tc>
        <w:tc>
          <w:tcPr>
            <w:tcW w:type="dxa" w:w="4309"/>
          </w:tcPr>
          <w:p>
            <w:r/>
            <w:r>
              <w:rPr>
                <w:rFonts w:ascii="맑은 고딕" w:hAnsi="맑은 고딕" w:eastAsia="맑은 고딕"/>
                <w:sz w:val="18"/>
              </w:rPr>
              <w:t>사이클별 t_rec 변화, 사이클별 리셋 회복률(완전 회복 여부)</w:t>
            </w:r>
          </w:p>
        </w:tc>
      </w:tr>
      <w:tr>
        <w:tc>
          <w:tcPr>
            <w:tcW w:type="dxa" w:w="2041"/>
          </w:tcPr>
          <w:p>
            <w:r/>
            <w:r>
              <w:rPr>
                <w:rFonts w:ascii="맑은 고딕" w:hAnsi="맑은 고딕" w:eastAsia="맑은 고딕"/>
                <w:sz w:val="18"/>
              </w:rPr>
              <w:t>보관 온도</w:t>
            </w:r>
          </w:p>
        </w:tc>
        <w:tc>
          <w:tcPr>
            <w:tcW w:type="dxa" w:w="3175"/>
          </w:tcPr>
          <w:p>
            <w:r/>
            <w:r>
              <w:rPr>
                <w:rFonts w:ascii="맑은 고딕" w:hAnsi="맑은 고딕" w:eastAsia="맑은 고딕"/>
                <w:sz w:val="18"/>
              </w:rPr>
              <w:t>45 ℃ 고정</w:t>
            </w:r>
          </w:p>
        </w:tc>
        <w:tc>
          <w:tcPr>
            <w:tcW w:type="dxa" w:w="4309"/>
          </w:tcPr>
          <w:p>
            <w:r/>
            <w:r>
              <w:rPr>
                <w:rFonts w:ascii="맑은 고딕" w:hAnsi="맑은 고딕" w:eastAsia="맑은 고딕"/>
                <w:sz w:val="18"/>
              </w:rPr>
              <w:t>온도 의존은 Phase 2 로 이관</w:t>
            </w:r>
          </w:p>
        </w:tc>
      </w:tr>
    </w:tbl>
    <w:p/>
    <w:p>
      <w:r>
        <w:rPr>
          <w:rFonts w:ascii="맑은 고딕" w:hAnsi="맑은 고딕" w:eastAsia="맑은 고딕"/>
          <w:b/>
          <w:i w:val="0"/>
        </w:rPr>
        <w:t>다. 판정 매트릭스</w:t>
      </w:r>
    </w:p>
    <w:tbl>
      <w:tblPr>
        <w:tblStyle w:val="TableGrid"/>
        <w:tblW w:type="auto" w:w="0"/>
        <w:tblLook w:firstColumn="1" w:firstRow="1" w:lastColumn="0" w:lastRow="0" w:noHBand="0" w:noVBand="1" w:val="04A0"/>
      </w:tblPr>
      <w:tblGrid>
        <w:gridCol w:w="4320"/>
        <w:gridCol w:w="4320"/>
      </w:tblGrid>
      <w:tr>
        <w:tc>
          <w:tcPr>
            <w:tcW w:type="dxa" w:w="4195"/>
          </w:tcPr>
          <w:p>
            <w:r/>
            <w:r>
              <w:rPr>
                <w:rFonts w:ascii="맑은 고딕" w:hAnsi="맑은 고딕" w:eastAsia="맑은 고딕"/>
                <w:b/>
                <w:sz w:val="18"/>
              </w:rPr>
              <w:t>관측 결과</w:t>
            </w:r>
          </w:p>
        </w:tc>
        <w:tc>
          <w:tcPr>
            <w:tcW w:type="dxa" w:w="5329"/>
          </w:tcPr>
          <w:p>
            <w:r/>
            <w:r>
              <w:rPr>
                <w:rFonts w:ascii="맑은 고딕" w:hAnsi="맑은 고딕" w:eastAsia="맑은 고딕"/>
                <w:b/>
                <w:sz w:val="18"/>
              </w:rPr>
              <w:t>지지되는 결론</w:t>
            </w:r>
          </w:p>
        </w:tc>
      </w:tr>
      <w:tr>
        <w:tc>
          <w:tcPr>
            <w:tcW w:type="dxa" w:w="4195"/>
          </w:tcPr>
          <w:p>
            <w:r/>
            <w:r>
              <w:rPr>
                <w:rFonts w:ascii="맑은 고딕" w:hAnsi="맑은 고딕" w:eastAsia="맑은 고딕"/>
                <w:sz w:val="18"/>
              </w:rPr>
              <w:t>리셋 후 N₂ 보관에서 재발 없음 또는 현저히 지연</w:t>
            </w:r>
          </w:p>
        </w:tc>
        <w:tc>
          <w:tcPr>
            <w:tcW w:type="dxa" w:w="5329"/>
          </w:tcPr>
          <w:p>
            <w:r/>
            <w:r>
              <w:rPr>
                <w:rFonts w:ascii="맑은 고딕" w:hAnsi="맑은 고딕" w:eastAsia="맑은 고딕"/>
                <w:sz w:val="18"/>
              </w:rPr>
              <w:t>산소가 소광 주체 — 주가설 H1c 직접 확정. 본 계획의 단일 최강 판별</w:t>
            </w:r>
          </w:p>
        </w:tc>
      </w:tr>
      <w:tr>
        <w:tc>
          <w:tcPr>
            <w:tcW w:type="dxa" w:w="4195"/>
          </w:tcPr>
          <w:p>
            <w:r/>
            <w:r>
              <w:rPr>
                <w:rFonts w:ascii="맑은 고딕" w:hAnsi="맑은 고딕" w:eastAsia="맑은 고딕"/>
                <w:sz w:val="18"/>
              </w:rPr>
              <w:t>t_rec 이 산소 분압에 반비례</w:t>
            </w:r>
          </w:p>
        </w:tc>
        <w:tc>
          <w:tcPr>
            <w:tcW w:type="dxa" w:w="5329"/>
          </w:tcPr>
          <w:p>
            <w:r/>
            <w:r>
              <w:rPr>
                <w:rFonts w:ascii="맑은 고딕" w:hAnsi="맑은 고딕" w:eastAsia="맑은 고딕"/>
                <w:sz w:val="18"/>
              </w:rPr>
              <w:t>H1c 정량 확정. 재발 시간이 확산 모델로 예측 가능해져 §9 모델의 검증 근거가 된다</w:t>
            </w:r>
          </w:p>
        </w:tc>
      </w:tr>
      <w:tr>
        <w:tc>
          <w:tcPr>
            <w:tcW w:type="dxa" w:w="4195"/>
          </w:tcPr>
          <w:p>
            <w:r/>
            <w:r>
              <w:rPr>
                <w:rFonts w:ascii="맑은 고딕" w:hAnsi="맑은 고딕" w:eastAsia="맑은 고딕"/>
                <w:sz w:val="18"/>
              </w:rPr>
              <w:t>사이클마다 t_rec 이 단조 증가하다 재발 정지</w:t>
            </w:r>
          </w:p>
        </w:tc>
        <w:tc>
          <w:tcPr>
            <w:tcW w:type="dxa" w:w="5329"/>
          </w:tcPr>
          <w:p>
            <w:r/>
            <w:r>
              <w:rPr>
                <w:rFonts w:ascii="맑은 고딕" w:hAnsi="맑은 고딕" w:eastAsia="맑은 고딕"/>
                <w:sz w:val="18"/>
              </w:rPr>
              <w:t>저장소 고갈형 — H1a 지지, H1c 하향</w:t>
            </w:r>
          </w:p>
        </w:tc>
      </w:tr>
      <w:tr>
        <w:tc>
          <w:tcPr>
            <w:tcW w:type="dxa" w:w="4195"/>
          </w:tcPr>
          <w:p>
            <w:r/>
            <w:r>
              <w:rPr>
                <w:rFonts w:ascii="맑은 고딕" w:hAnsi="맑은 고딕" w:eastAsia="맑은 고딕"/>
                <w:sz w:val="18"/>
              </w:rPr>
              <w:t>t_rec 일정하고 산소 분압 의존 약함</w:t>
            </w:r>
          </w:p>
        </w:tc>
        <w:tc>
          <w:tcPr>
            <w:tcW w:type="dxa" w:w="5329"/>
          </w:tcPr>
          <w:p>
            <w:r/>
            <w:r>
              <w:rPr>
                <w:rFonts w:ascii="맑은 고딕" w:hAnsi="맑은 고딕" w:eastAsia="맑은 고딕"/>
                <w:sz w:val="18"/>
              </w:rPr>
              <w:t>하류 해소형 — H1b 지지</w:t>
            </w:r>
          </w:p>
        </w:tc>
      </w:tr>
      <w:tr>
        <w:tc>
          <w:tcPr>
            <w:tcW w:type="dxa" w:w="4195"/>
          </w:tcPr>
          <w:p>
            <w:r/>
            <w:r>
              <w:rPr>
                <w:rFonts w:ascii="맑은 고딕" w:hAnsi="맑은 고딕" w:eastAsia="맑은 고딕"/>
                <w:sz w:val="18"/>
              </w:rPr>
              <w:t>사이클마다 리셋 회복률이 100 % 미만으로 하락</w:t>
            </w:r>
          </w:p>
        </w:tc>
        <w:tc>
          <w:tcPr>
            <w:tcW w:type="dxa" w:w="5329"/>
          </w:tcPr>
          <w:p>
            <w:r/>
            <w:r>
              <w:rPr>
                <w:rFonts w:ascii="맑은 고딕" w:hAnsi="맑은 고딕" w:eastAsia="맑은 고딕"/>
                <w:sz w:val="18"/>
              </w:rPr>
              <w:t>일중항 산소에 의한 비가역 전이 진행 — 가역 구간 시한의 정량 근거(§4.5 역할 iii)</w:t>
            </w:r>
          </w:p>
        </w:tc>
      </w:tr>
      <w:tr>
        <w:tc>
          <w:tcPr>
            <w:tcW w:type="dxa" w:w="4195"/>
          </w:tcPr>
          <w:p>
            <w:r/>
            <w:r>
              <w:rPr>
                <w:rFonts w:ascii="맑은 고딕" w:hAnsi="맑은 고딕" w:eastAsia="맑은 고딕"/>
                <w:sz w:val="18"/>
              </w:rPr>
              <w:t>O₂ 농도에 비례해 액자 진행 가속, N₂ 에서 정지</w:t>
            </w:r>
          </w:p>
        </w:tc>
        <w:tc>
          <w:tcPr>
            <w:tcW w:type="dxa" w:w="5329"/>
          </w:tcPr>
          <w:p>
            <w:r/>
            <w:r>
              <w:rPr>
                <w:rFonts w:ascii="맑은 고딕" w:hAnsi="맑은 고딕" w:eastAsia="맑은 고딕"/>
                <w:sz w:val="18"/>
              </w:rPr>
              <w:t>산소 재유입이 진행의 필요조건 — H1c/H3/H4 계열 지지</w:t>
            </w:r>
          </w:p>
        </w:tc>
      </w:tr>
      <w:tr>
        <w:tc>
          <w:tcPr>
            <w:tcW w:type="dxa" w:w="4195"/>
          </w:tcPr>
          <w:p>
            <w:r/>
            <w:r>
              <w:rPr>
                <w:rFonts w:ascii="맑은 고딕" w:hAnsi="맑은 고딕" w:eastAsia="맑은 고딕"/>
                <w:sz w:val="18"/>
              </w:rPr>
              <w:t>에지 실링군만 진행 정지</w:t>
            </w:r>
          </w:p>
        </w:tc>
        <w:tc>
          <w:tcPr>
            <w:tcW w:type="dxa" w:w="5329"/>
          </w:tcPr>
          <w:p>
            <w:r/>
            <w:r>
              <w:rPr>
                <w:rFonts w:ascii="맑은 고딕" w:hAnsi="맑은 고딕" w:eastAsia="맑은 고딕"/>
                <w:sz w:val="18"/>
              </w:rPr>
              <w:t>재유입 경로 = 모듈 에지(OCA 계면 포함) 확정 — 기하 가설 A 지지</w:t>
            </w:r>
          </w:p>
        </w:tc>
      </w:tr>
      <w:tr>
        <w:tc>
          <w:tcPr>
            <w:tcW w:type="dxa" w:w="4195"/>
          </w:tcPr>
          <w:p>
            <w:r/>
            <w:r>
              <w:rPr>
                <w:rFonts w:ascii="맑은 고딕" w:hAnsi="맑은 고딕" w:eastAsia="맑은 고딕"/>
                <w:sz w:val="18"/>
              </w:rPr>
              <w:t>UV 후경화군에서 재형성 억제·둔화</w:t>
            </w:r>
          </w:p>
        </w:tc>
        <w:tc>
          <w:tcPr>
            <w:tcW w:type="dxa" w:w="5329"/>
          </w:tcPr>
          <w:p>
            <w:r/>
            <w:r>
              <w:rPr>
                <w:rFonts w:ascii="맑은 고딕" w:hAnsi="맑은 고딕" w:eastAsia="맑은 고딕"/>
                <w:sz w:val="18"/>
              </w:rPr>
              <w:t>미경화 OCA 가 산소 저장고·통로로 기여함을 확인 — 산소 역할 (i) 간접 확정</w:t>
            </w:r>
          </w:p>
        </w:tc>
      </w:tr>
      <w:tr>
        <w:tc>
          <w:tcPr>
            <w:tcW w:type="dxa" w:w="4195"/>
          </w:tcPr>
          <w:p>
            <w:r/>
            <w:r>
              <w:rPr>
                <w:rFonts w:ascii="맑은 고딕" w:hAnsi="맑은 고딕" w:eastAsia="맑은 고딕"/>
                <w:sz w:val="18"/>
              </w:rPr>
              <w:t>N₂ 에서도 동일 진행</w:t>
            </w:r>
          </w:p>
        </w:tc>
        <w:tc>
          <w:tcPr>
            <w:tcW w:type="dxa" w:w="5329"/>
          </w:tcPr>
          <w:p>
            <w:r/>
            <w:r>
              <w:rPr>
                <w:rFonts w:ascii="맑은 고딕" w:hAnsi="맑은 고딕" w:eastAsia="맑은 고딕"/>
                <w:sz w:val="18"/>
              </w:rPr>
              <w:t>산소 무관 기전(H2 이온/트랩 단독 등)으로 무게 이동 — Phase 2 축을 전압·온도 중심으로 변경</w:t>
            </w:r>
          </w:p>
        </w:tc>
      </w:tr>
      <w:tr>
        <w:tc>
          <w:tcPr>
            <w:tcW w:type="dxa" w:w="4195"/>
          </w:tcPr>
          <w:p>
            <w:r/>
            <w:r>
              <w:rPr>
                <w:rFonts w:ascii="맑은 고딕" w:hAnsi="맑은 고딕" w:eastAsia="맑은 고딕"/>
                <w:sz w:val="18"/>
              </w:rPr>
              <w:t>실링 무관, 후경화 무관, O₂ 비례</w:t>
            </w:r>
          </w:p>
        </w:tc>
        <w:tc>
          <w:tcPr>
            <w:tcW w:type="dxa" w:w="5329"/>
          </w:tcPr>
          <w:p>
            <w:r/>
            <w:r>
              <w:rPr>
                <w:rFonts w:ascii="맑은 고딕" w:hAnsi="맑은 고딕" w:eastAsia="맑은 고딕"/>
                <w:sz w:val="18"/>
              </w:rPr>
              <w:t>봉지면 투과 등 에지 외 경로 — H4 재검토</w:t>
            </w:r>
          </w:p>
        </w:tc>
      </w:tr>
    </w:tbl>
    <w:p/>
    <w:p>
      <w:pPr>
        <w:pStyle w:val="Heading2"/>
      </w:pPr>
      <w:r>
        <w:t>5.3 Phase 2 — 속도론 (4~8주)</w:t>
      </w:r>
    </w:p>
    <w:p>
      <w:r>
        <w:rPr>
          <w:rFonts w:ascii="맑은 고딕" w:hAnsi="맑은 고딕" w:eastAsia="맑은 고딕"/>
          <w:b w:val="0"/>
          <w:i w:val="0"/>
        </w:rPr>
        <w:t>목적: Phase 1 에서 확정된 주 경로에 대해 도스-반응 곡면 w(t; pO₂, T, RH) 를 확보하고, 가속 모델 파라미터(Ea, 헨리 상수 유효치, 시간 법칙)를 추출한다. 이 데이터가 §9 시뮬레이션 캘리브레이션의 입력이다.</w:t>
      </w:r>
    </w:p>
    <w:tbl>
      <w:tblPr>
        <w:tblStyle w:val="TableGrid"/>
        <w:tblW w:type="auto" w:w="0"/>
        <w:tblLook w:firstColumn="1" w:firstRow="1" w:lastColumn="0" w:lastRow="0" w:noHBand="0" w:noVBand="1" w:val="04A0"/>
      </w:tblPr>
      <w:tblGrid>
        <w:gridCol w:w="2880"/>
        <w:gridCol w:w="2880"/>
        <w:gridCol w:w="2880"/>
      </w:tblGrid>
      <w:tr>
        <w:tc>
          <w:tcPr>
            <w:tcW w:type="dxa" w:w="1701"/>
          </w:tcPr>
          <w:p>
            <w:r/>
            <w:r>
              <w:rPr>
                <w:rFonts w:ascii="맑은 고딕" w:hAnsi="맑은 고딕" w:eastAsia="맑은 고딕"/>
                <w:b/>
                <w:sz w:val="18"/>
              </w:rPr>
              <w:t>인자</w:t>
            </w:r>
          </w:p>
        </w:tc>
        <w:tc>
          <w:tcPr>
            <w:tcW w:type="dxa" w:w="3969"/>
          </w:tcPr>
          <w:p>
            <w:r/>
            <w:r>
              <w:rPr>
                <w:rFonts w:ascii="맑은 고딕" w:hAnsi="맑은 고딕" w:eastAsia="맑은 고딕"/>
                <w:b/>
                <w:sz w:val="18"/>
              </w:rPr>
              <w:t>수준</w:t>
            </w:r>
          </w:p>
        </w:tc>
        <w:tc>
          <w:tcPr>
            <w:tcW w:type="dxa" w:w="3855"/>
          </w:tcPr>
          <w:p>
            <w:r/>
            <w:r>
              <w:rPr>
                <w:rFonts w:ascii="맑은 고딕" w:hAnsi="맑은 고딕" w:eastAsia="맑은 고딕"/>
                <w:b/>
                <w:sz w:val="18"/>
              </w:rPr>
              <w:t>비고</w:t>
            </w:r>
          </w:p>
        </w:tc>
      </w:tr>
      <w:tr>
        <w:tc>
          <w:tcPr>
            <w:tcW w:type="dxa" w:w="1701"/>
          </w:tcPr>
          <w:p>
            <w:r/>
            <w:r>
              <w:rPr>
                <w:rFonts w:ascii="맑은 고딕" w:hAnsi="맑은 고딕" w:eastAsia="맑은 고딕"/>
                <w:sz w:val="18"/>
              </w:rPr>
              <w:t>산소 분압</w:t>
            </w:r>
          </w:p>
        </w:tc>
        <w:tc>
          <w:tcPr>
            <w:tcW w:type="dxa" w:w="3969"/>
          </w:tcPr>
          <w:p>
            <w:r/>
            <w:r>
              <w:rPr>
                <w:rFonts w:ascii="맑은 고딕" w:hAnsi="맑은 고딕" w:eastAsia="맑은 고딕"/>
                <w:sz w:val="18"/>
              </w:rPr>
              <w:t>0.21 / 1.0 / 2~3 atm 상당 3수준</w:t>
            </w:r>
          </w:p>
        </w:tc>
        <w:tc>
          <w:tcPr>
            <w:tcW w:type="dxa" w:w="3855"/>
          </w:tcPr>
          <w:p>
            <w:r/>
            <w:r>
              <w:rPr>
                <w:rFonts w:ascii="맑은 고딕" w:hAnsi="맑은 고딕" w:eastAsia="맑은 고딕"/>
                <w:sz w:val="18"/>
              </w:rPr>
              <w:t>도스 축 — 헨리 선형성 검증 포함</w:t>
            </w:r>
          </w:p>
        </w:tc>
      </w:tr>
      <w:tr>
        <w:tc>
          <w:tcPr>
            <w:tcW w:type="dxa" w:w="1701"/>
          </w:tcPr>
          <w:p>
            <w:r/>
            <w:r>
              <w:rPr>
                <w:rFonts w:ascii="맑은 고딕" w:hAnsi="맑은 고딕" w:eastAsia="맑은 고딕"/>
                <w:sz w:val="18"/>
              </w:rPr>
              <w:t>온도</w:t>
            </w:r>
          </w:p>
        </w:tc>
        <w:tc>
          <w:tcPr>
            <w:tcW w:type="dxa" w:w="3969"/>
          </w:tcPr>
          <w:p>
            <w:r/>
            <w:r>
              <w:rPr>
                <w:rFonts w:ascii="맑은 고딕" w:hAnsi="맑은 고딕" w:eastAsia="맑은 고딕"/>
                <w:sz w:val="18"/>
              </w:rPr>
              <w:t>25 / 45 / 60 ℃</w:t>
            </w:r>
          </w:p>
        </w:tc>
        <w:tc>
          <w:tcPr>
            <w:tcW w:type="dxa" w:w="3855"/>
          </w:tcPr>
          <w:p>
            <w:r/>
            <w:r>
              <w:rPr>
                <w:rFonts w:ascii="맑은 고딕" w:hAnsi="맑은 고딕" w:eastAsia="맑은 고딕"/>
                <w:sz w:val="18"/>
              </w:rPr>
              <w:t>Arrhenius 2점 최소, 3점 권장. 모듈 내열 상한 준수</w:t>
            </w:r>
          </w:p>
        </w:tc>
      </w:tr>
      <w:tr>
        <w:tc>
          <w:tcPr>
            <w:tcW w:type="dxa" w:w="1701"/>
          </w:tcPr>
          <w:p>
            <w:r/>
            <w:r>
              <w:rPr>
                <w:rFonts w:ascii="맑은 고딕" w:hAnsi="맑은 고딕" w:eastAsia="맑은 고딕"/>
                <w:sz w:val="18"/>
              </w:rPr>
              <w:t>습도</w:t>
            </w:r>
          </w:p>
        </w:tc>
        <w:tc>
          <w:tcPr>
            <w:tcW w:type="dxa" w:w="3969"/>
          </w:tcPr>
          <w:p>
            <w:r/>
            <w:r>
              <w:rPr>
                <w:rFonts w:ascii="맑은 고딕" w:hAnsi="맑은 고딕" w:eastAsia="맑은 고딕"/>
                <w:sz w:val="18"/>
              </w:rPr>
              <w:t>건조 / 85 %RH</w:t>
            </w:r>
          </w:p>
        </w:tc>
        <w:tc>
          <w:tcPr>
            <w:tcW w:type="dxa" w:w="3855"/>
          </w:tcPr>
          <w:p>
            <w:r/>
            <w:r>
              <w:rPr>
                <w:rFonts w:ascii="맑은 고딕" w:hAnsi="맑은 고딕" w:eastAsia="맑은 고딕"/>
                <w:sz w:val="18"/>
              </w:rPr>
              <w:t>수분 독립 효과 분리 — UV 리셋 분류기 필수 적용</w:t>
            </w:r>
          </w:p>
        </w:tc>
      </w:tr>
      <w:tr>
        <w:tc>
          <w:tcPr>
            <w:tcW w:type="dxa" w:w="1701"/>
          </w:tcPr>
          <w:p>
            <w:r/>
            <w:r>
              <w:rPr>
                <w:rFonts w:ascii="맑은 고딕" w:hAnsi="맑은 고딕" w:eastAsia="맑은 고딕"/>
                <w:sz w:val="18"/>
              </w:rPr>
              <w:t>방치 시간</w:t>
            </w:r>
          </w:p>
        </w:tc>
        <w:tc>
          <w:tcPr>
            <w:tcW w:type="dxa" w:w="3969"/>
          </w:tcPr>
          <w:p>
            <w:r/>
            <w:r>
              <w:rPr>
                <w:rFonts w:ascii="맑은 고딕" w:hAnsi="맑은 고딕" w:eastAsia="맑은 고딕"/>
                <w:sz w:val="18"/>
              </w:rPr>
              <w:t>로그 간격 5점 (예: 1/3/7/14/28일)</w:t>
            </w:r>
          </w:p>
        </w:tc>
        <w:tc>
          <w:tcPr>
            <w:tcW w:type="dxa" w:w="3855"/>
          </w:tcPr>
          <w:p>
            <w:r/>
            <w:r>
              <w:rPr>
                <w:rFonts w:ascii="맑은 고딕" w:hAnsi="맑은 고딕" w:eastAsia="맑은 고딕"/>
                <w:sz w:val="18"/>
              </w:rPr>
              <w:t>√t 형과 포화형의 구분에 로그 간격이 필수</w:t>
            </w:r>
          </w:p>
        </w:tc>
      </w:tr>
      <w:tr>
        <w:tc>
          <w:tcPr>
            <w:tcW w:type="dxa" w:w="1701"/>
          </w:tcPr>
          <w:p>
            <w:r/>
            <w:r>
              <w:rPr>
                <w:rFonts w:ascii="맑은 고딕" w:hAnsi="맑은 고딕" w:eastAsia="맑은 고딕"/>
                <w:sz w:val="18"/>
              </w:rPr>
              <w:t>복제수</w:t>
            </w:r>
          </w:p>
        </w:tc>
        <w:tc>
          <w:tcPr>
            <w:tcW w:type="dxa" w:w="3969"/>
          </w:tcPr>
          <w:p>
            <w:r/>
            <w:r>
              <w:rPr>
                <w:rFonts w:ascii="맑은 고딕" w:hAnsi="맑은 고딕" w:eastAsia="맑은 고딕"/>
                <w:sz w:val="18"/>
              </w:rPr>
              <w:t>조건당 n ≥ 3, 주요 축 n ≥ 5</w:t>
            </w:r>
          </w:p>
        </w:tc>
        <w:tc>
          <w:tcPr>
            <w:tcW w:type="dxa" w:w="3855"/>
          </w:tcPr>
          <w:p>
            <w:r/>
            <w:r>
              <w:rPr>
                <w:rFonts w:ascii="맑은 고딕" w:hAnsi="맑은 고딕" w:eastAsia="맑은 고딕"/>
                <w:sz w:val="18"/>
              </w:rPr>
              <w:t>액자 폭 판독 반복성 ±α 를 사전 게이지 R&amp;R 로 확정</w:t>
            </w:r>
          </w:p>
        </w:tc>
      </w:tr>
    </w:tbl>
    <w:p/>
    <w:p>
      <w:r>
        <w:rPr>
          <w:rFonts w:ascii="맑은 고딕" w:hAnsi="맑은 고딕" w:eastAsia="맑은 고딕"/>
          <w:b w:val="0"/>
          <w:i w:val="0"/>
        </w:rPr>
        <w:t>산출물: w(t) 곡선군, 시간 법칙 판정(√t vs 포화), dw/dt 의 Arrhenius 기울기(Ea), pO₂ 선형성, 습도 교호작용 유무, UV 리셋 후 재성장 초기 속도(식별성 보조 관측 — §9.4).</w:t>
      </w:r>
    </w:p>
    <w:p>
      <w:pPr>
        <w:pStyle w:val="Heading2"/>
      </w:pPr>
      <w:r>
        <w:t>5.4 Phase 3 — 모델 검증 (약 2주)</w:t>
      </w:r>
    </w:p>
    <w:p>
      <w:r>
        <w:rPr>
          <w:rFonts w:ascii="맑은 고딕" w:hAnsi="맑은 고딕" w:eastAsia="맑은 고딕"/>
          <w:b w:val="0"/>
          <w:i w:val="0"/>
        </w:rPr>
        <w:t>§9 모델을 Phase 2 데이터로 캘리브레이션한 뒤, 학습에 쓰지 않은 조건(예: 중간 분압 × 중간 온도, 또는 주기적 UV 리셋 반복 조건)의 w(t) 를 선예측하고 실측과 대조한다. 예측-실측 오차가 판독 반복성의 2배 이내면 모델을 제어 인자 평가에 사용 승인한다.</w:t>
      </w:r>
    </w:p>
    <w:p>
      <w:pPr>
        <w:pStyle w:val="Heading2"/>
      </w:pPr>
      <w:r>
        <w:t>5.5 보조·판별 시험 (Phase 1~2 와 병행)</w:t>
      </w:r>
    </w:p>
    <w:tbl>
      <w:tblPr>
        <w:tblStyle w:val="TableGrid"/>
        <w:tblW w:type="auto" w:w="0"/>
        <w:tblLook w:firstColumn="1" w:firstRow="1" w:lastColumn="0" w:lastRow="0" w:noHBand="0" w:noVBand="1" w:val="04A0"/>
      </w:tblPr>
      <w:tblGrid>
        <w:gridCol w:w="2880"/>
        <w:gridCol w:w="2880"/>
        <w:gridCol w:w="2880"/>
      </w:tblGrid>
      <w:tr>
        <w:tc>
          <w:tcPr>
            <w:tcW w:type="dxa" w:w="2948"/>
          </w:tcPr>
          <w:p>
            <w:r/>
            <w:r>
              <w:rPr>
                <w:rFonts w:ascii="맑은 고딕" w:hAnsi="맑은 고딕" w:eastAsia="맑은 고딕"/>
                <w:b/>
                <w:sz w:val="18"/>
              </w:rPr>
              <w:t>시험</w:t>
            </w:r>
          </w:p>
        </w:tc>
        <w:tc>
          <w:tcPr>
            <w:tcW w:type="dxa" w:w="2948"/>
          </w:tcPr>
          <w:p>
            <w:r/>
            <w:r>
              <w:rPr>
                <w:rFonts w:ascii="맑은 고딕" w:hAnsi="맑은 고딕" w:eastAsia="맑은 고딕"/>
                <w:b/>
                <w:sz w:val="18"/>
              </w:rPr>
              <w:t>목적</w:t>
            </w:r>
          </w:p>
        </w:tc>
        <w:tc>
          <w:tcPr>
            <w:tcW w:type="dxa" w:w="3628"/>
          </w:tcPr>
          <w:p>
            <w:r/>
            <w:r>
              <w:rPr>
                <w:rFonts w:ascii="맑은 고딕" w:hAnsi="맑은 고딕" w:eastAsia="맑은 고딕"/>
                <w:b/>
                <w:sz w:val="18"/>
              </w:rPr>
              <w:t>판정</w:t>
            </w:r>
          </w:p>
        </w:tc>
      </w:tr>
      <w:tr>
        <w:tc>
          <w:tcPr>
            <w:tcW w:type="dxa" w:w="2948"/>
          </w:tcPr>
          <w:p>
            <w:r/>
            <w:r>
              <w:rPr>
                <w:rFonts w:ascii="맑은 고딕" w:hAnsi="맑은 고딕" w:eastAsia="맑은 고딕"/>
                <w:sz w:val="18"/>
              </w:rPr>
              <w:t>UV 리셋 액션 스펙트럼 (450/405/365 nm 선량 스윕)</w:t>
            </w:r>
          </w:p>
        </w:tc>
        <w:tc>
          <w:tcPr>
            <w:tcW w:type="dxa" w:w="2948"/>
          </w:tcPr>
          <w:p>
            <w:r/>
            <w:r>
              <w:rPr>
                <w:rFonts w:ascii="맑은 고딕" w:hAnsi="맑은 고딕" w:eastAsia="맑은 고딕"/>
                <w:sz w:val="18"/>
              </w:rPr>
              <w:t>리셋 기전의 에너지 문턱 특정</w:t>
            </w:r>
          </w:p>
        </w:tc>
        <w:tc>
          <w:tcPr>
            <w:tcW w:type="dxa" w:w="3628"/>
          </w:tcPr>
          <w:p>
            <w:r/>
            <w:r>
              <w:rPr>
                <w:rFonts w:ascii="맑은 고딕" w:hAnsi="맑은 고딕" w:eastAsia="맑은 고딕"/>
                <w:sz w:val="18"/>
              </w:rPr>
              <w:t>광개시제 흡수 대역과 겹치면 H1 강지지, 청색만으로 부분 리셋이면 얕은 트랩(H2/H5) 방향</w:t>
            </w:r>
          </w:p>
        </w:tc>
      </w:tr>
      <w:tr>
        <w:tc>
          <w:tcPr>
            <w:tcW w:type="dxa" w:w="2948"/>
          </w:tcPr>
          <w:p>
            <w:r/>
            <w:r>
              <w:rPr>
                <w:rFonts w:ascii="맑은 고딕" w:hAnsi="맑은 고딕" w:eastAsia="맑은 고딕"/>
                <w:sz w:val="18"/>
              </w:rPr>
              <w:t>적색 CF·OCA 투과 스펙트럼 실측</w:t>
            </w:r>
          </w:p>
        </w:tc>
        <w:tc>
          <w:tcPr>
            <w:tcW w:type="dxa" w:w="2948"/>
          </w:tcPr>
          <w:p>
            <w:r/>
            <w:r>
              <w:rPr>
                <w:rFonts w:ascii="맑은 고딕" w:hAnsi="맑은 고딕" w:eastAsia="맑은 고딕"/>
                <w:sz w:val="18"/>
              </w:rPr>
              <w:t>필드 태양광 자연 리셋 성립 여부의 수치 판정</w:t>
            </w:r>
          </w:p>
        </w:tc>
        <w:tc>
          <w:tcPr>
            <w:tcW w:type="dxa" w:w="3628"/>
          </w:tcPr>
          <w:p>
            <w:r/>
            <w:r>
              <w:rPr>
                <w:rFonts w:ascii="맑은 고딕" w:hAnsi="맑은 고딕" w:eastAsia="맑은 고딕"/>
                <w:sz w:val="18"/>
              </w:rPr>
              <w:t>액션 스펙트럼과 대조하여 실효 도달 선량 산출</w:t>
            </w:r>
          </w:p>
        </w:tc>
      </w:tr>
      <w:tr>
        <w:tc>
          <w:tcPr>
            <w:tcW w:type="dxa" w:w="2948"/>
          </w:tcPr>
          <w:p>
            <w:r/>
            <w:r>
              <w:rPr>
                <w:rFonts w:ascii="맑은 고딕" w:hAnsi="맑은 고딕" w:eastAsia="맑은 고딕"/>
                <w:sz w:val="18"/>
              </w:rPr>
              <w:t>열 리셋 교차검증 (모듈 내열 상한 이내 베이크)</w:t>
            </w:r>
          </w:p>
        </w:tc>
        <w:tc>
          <w:tcPr>
            <w:tcW w:type="dxa" w:w="2948"/>
          </w:tcPr>
          <w:p>
            <w:r/>
            <w:r>
              <w:rPr>
                <w:rFonts w:ascii="맑은 고딕" w:hAnsi="맑은 고딕" w:eastAsia="맑은 고딕"/>
                <w:sz w:val="18"/>
              </w:rPr>
              <w:t>광화학(경화 완결) vs 열적(확산·재배열) 구분</w:t>
            </w:r>
          </w:p>
        </w:tc>
        <w:tc>
          <w:tcPr>
            <w:tcW w:type="dxa" w:w="3628"/>
          </w:tcPr>
          <w:p>
            <w:r/>
            <w:r>
              <w:rPr>
                <w:rFonts w:ascii="맑은 고딕" w:hAnsi="맑은 고딕" w:eastAsia="맑은 고딕"/>
                <w:sz w:val="18"/>
              </w:rPr>
              <w:t>열 단독 리셋 성립 시 H2 계열 가중</w:t>
            </w:r>
          </w:p>
        </w:tc>
      </w:tr>
      <w:tr>
        <w:tc>
          <w:tcPr>
            <w:tcW w:type="dxa" w:w="2948"/>
          </w:tcPr>
          <w:p>
            <w:r/>
            <w:r>
              <w:rPr>
                <w:rFonts w:ascii="맑은 고딕" w:hAnsi="맑은 고딕" w:eastAsia="맑은 고딕"/>
                <w:sz w:val="18"/>
              </w:rPr>
              <w:t>전면/배면 조사 비교 (배면 접근 가능 시)</w:t>
            </w:r>
          </w:p>
        </w:tc>
        <w:tc>
          <w:tcPr>
            <w:tcW w:type="dxa" w:w="2948"/>
          </w:tcPr>
          <w:p>
            <w:r/>
            <w:r>
              <w:rPr>
                <w:rFonts w:ascii="맑은 고딕" w:hAnsi="맑은 고딕" w:eastAsia="맑은 고딕"/>
                <w:sz w:val="18"/>
              </w:rPr>
              <w:t>상태변수의 층 위치 판별</w:t>
            </w:r>
          </w:p>
        </w:tc>
        <w:tc>
          <w:tcPr>
            <w:tcW w:type="dxa" w:w="3628"/>
          </w:tcPr>
          <w:p>
            <w:r/>
            <w:r>
              <w:rPr>
                <w:rFonts w:ascii="맑은 고딕" w:hAnsi="맑은 고딕" w:eastAsia="맑은 고딕"/>
                <w:sz w:val="18"/>
              </w:rPr>
              <w:t>배면에서만 리셋 시 백플레인(H5) 재부상</w:t>
            </w:r>
          </w:p>
        </w:tc>
      </w:tr>
      <w:tr>
        <w:tc>
          <w:tcPr>
            <w:tcW w:type="dxa" w:w="2948"/>
          </w:tcPr>
          <w:p>
            <w:r/>
            <w:r>
              <w:rPr>
                <w:rFonts w:ascii="맑은 고딕" w:hAnsi="맑은 고딕" w:eastAsia="맑은 고딕"/>
                <w:sz w:val="18"/>
              </w:rPr>
              <w:t>공초점 라만 경화도 맵 (윈도우 유리 통과)</w:t>
            </w:r>
          </w:p>
        </w:tc>
        <w:tc>
          <w:tcPr>
            <w:tcW w:type="dxa" w:w="2948"/>
          </w:tcPr>
          <w:p>
            <w:r/>
            <w:r>
              <w:rPr>
                <w:rFonts w:ascii="맑은 고딕" w:hAnsi="맑은 고딕" w:eastAsia="맑은 고딕"/>
                <w:sz w:val="18"/>
              </w:rPr>
              <w:t>OCA C=C 전환율의 에지→중앙 프로파일</w:t>
            </w:r>
          </w:p>
        </w:tc>
        <w:tc>
          <w:tcPr>
            <w:tcW w:type="dxa" w:w="3628"/>
          </w:tcPr>
          <w:p>
            <w:r/>
            <w:r>
              <w:rPr>
                <w:rFonts w:ascii="맑은 고딕" w:hAnsi="맑은 고딕" w:eastAsia="맑은 고딕"/>
                <w:sz w:val="18"/>
              </w:rPr>
              <w:t>미경화 링 폭 ↔ 액자 폭 w(t) 상관 — H1·기하 C 판별</w:t>
            </w:r>
          </w:p>
        </w:tc>
      </w:tr>
      <w:tr>
        <w:tc>
          <w:tcPr>
            <w:tcW w:type="dxa" w:w="2948"/>
          </w:tcPr>
          <w:p>
            <w:r/>
            <w:r>
              <w:rPr>
                <w:rFonts w:ascii="맑은 고딕" w:hAnsi="맑은 고딕" w:eastAsia="맑은 고딕"/>
                <w:sz w:val="18"/>
              </w:rPr>
              <w:t>로트 상관</w:t>
            </w:r>
          </w:p>
        </w:tc>
        <w:tc>
          <w:tcPr>
            <w:tcW w:type="dxa" w:w="2948"/>
          </w:tcPr>
          <w:p>
            <w:r/>
            <w:r>
              <w:rPr>
                <w:rFonts w:ascii="맑은 고딕" w:hAnsi="맑은 고딕" w:eastAsia="맑은 고딕"/>
                <w:sz w:val="18"/>
              </w:rPr>
              <w:t>OCA 로트·생산 일자·라미 설비별 현상 중증도</w:t>
            </w:r>
          </w:p>
        </w:tc>
        <w:tc>
          <w:tcPr>
            <w:tcW w:type="dxa" w:w="3628"/>
          </w:tcPr>
          <w:p>
            <w:r/>
            <w:r>
              <w:rPr>
                <w:rFonts w:ascii="맑은 고딕" w:hAnsi="맑은 고딕" w:eastAsia="맑은 고딕"/>
                <w:sz w:val="18"/>
              </w:rPr>
              <w:t>로트 유의차 존재 시 공정 기원(H1(i)·기하 C) 지지 — 업체 데이터 요청과 연계</w:t>
            </w:r>
          </w:p>
        </w:tc>
      </w:tr>
      <w:tr>
        <w:tc>
          <w:tcPr>
            <w:tcW w:type="dxa" w:w="2948"/>
          </w:tcPr>
          <w:p>
            <w:r/>
            <w:r>
              <w:rPr>
                <w:rFonts w:ascii="맑은 고딕" w:hAnsi="맑은 고딕" w:eastAsia="맑은 고딕"/>
                <w:sz w:val="18"/>
              </w:rPr>
              <w:t>TOF-SIMS 계면 분석 (파괴, 대표 시편)</w:t>
            </w:r>
          </w:p>
        </w:tc>
        <w:tc>
          <w:tcPr>
            <w:tcW w:type="dxa" w:w="2948"/>
          </w:tcPr>
          <w:p>
            <w:r/>
            <w:r>
              <w:rPr>
                <w:rFonts w:ascii="맑은 고딕" w:hAnsi="맑은 고딕" w:eastAsia="맑은 고딕"/>
                <w:sz w:val="18"/>
              </w:rPr>
              <w:t>액자 vs 중앙의 음극/EIL 계면 화학종</w:t>
            </w:r>
          </w:p>
        </w:tc>
        <w:tc>
          <w:tcPr>
            <w:tcW w:type="dxa" w:w="3628"/>
          </w:tcPr>
          <w:p>
            <w:r/>
            <w:r>
              <w:rPr>
                <w:rFonts w:ascii="맑은 고딕" w:hAnsi="맑은 고딕" w:eastAsia="맑은 고딕"/>
                <w:sz w:val="18"/>
              </w:rPr>
              <w:t>아크릴레이트·개시제 파편·아민 검출 시 확산 오염 확정</w:t>
            </w:r>
          </w:p>
        </w:tc>
      </w:tr>
    </w:tbl>
    <w:p/>
    <w:p>
      <w:pPr>
        <w:pStyle w:val="Heading2"/>
      </w:pPr>
      <w:r>
        <w:t>5.6 샘플 소요량(개략)</w:t>
      </w:r>
    </w:p>
    <w:tbl>
      <w:tblPr>
        <w:tblStyle w:val="TableGrid"/>
        <w:tblW w:type="auto" w:w="0"/>
        <w:tblLook w:firstColumn="1" w:firstRow="1" w:lastColumn="0" w:lastRow="0" w:noHBand="0" w:noVBand="1" w:val="04A0"/>
      </w:tblPr>
      <w:tblGrid>
        <w:gridCol w:w="2880"/>
        <w:gridCol w:w="2880"/>
        <w:gridCol w:w="2880"/>
      </w:tblGrid>
      <w:tr>
        <w:tc>
          <w:tcPr>
            <w:tcW w:type="dxa" w:w="1474"/>
          </w:tcPr>
          <w:p>
            <w:r/>
            <w:r>
              <w:rPr>
                <w:rFonts w:ascii="맑은 고딕" w:hAnsi="맑은 고딕" w:eastAsia="맑은 고딕"/>
                <w:b/>
                <w:sz w:val="18"/>
              </w:rPr>
              <w:t>Phase</w:t>
            </w:r>
          </w:p>
        </w:tc>
        <w:tc>
          <w:tcPr>
            <w:tcW w:type="dxa" w:w="3969"/>
          </w:tcPr>
          <w:p>
            <w:r/>
            <w:r>
              <w:rPr>
                <w:rFonts w:ascii="맑은 고딕" w:hAnsi="맑은 고딕" w:eastAsia="맑은 고딕"/>
                <w:b/>
                <w:sz w:val="18"/>
              </w:rPr>
              <w:t>조합 × 복제</w:t>
            </w:r>
          </w:p>
        </w:tc>
        <w:tc>
          <w:tcPr>
            <w:tcW w:type="dxa" w:w="4082"/>
          </w:tcPr>
          <w:p>
            <w:r/>
            <w:r>
              <w:rPr>
                <w:rFonts w:ascii="맑은 고딕" w:hAnsi="맑은 고딕" w:eastAsia="맑은 고딕"/>
                <w:b/>
                <w:sz w:val="18"/>
              </w:rPr>
              <w:t>소요 모듈(예비 20 % 포함)</w:t>
            </w:r>
          </w:p>
        </w:tc>
      </w:tr>
      <w:tr>
        <w:tc>
          <w:tcPr>
            <w:tcW w:type="dxa" w:w="1474"/>
          </w:tcPr>
          <w:p>
            <w:r/>
            <w:r>
              <w:rPr>
                <w:rFonts w:ascii="맑은 고딕" w:hAnsi="맑은 고딕" w:eastAsia="맑은 고딕"/>
                <w:sz w:val="18"/>
              </w:rPr>
              <w:t>Phase 1</w:t>
            </w:r>
          </w:p>
        </w:tc>
        <w:tc>
          <w:tcPr>
            <w:tcW w:type="dxa" w:w="3969"/>
          </w:tcPr>
          <w:p>
            <w:r/>
            <w:r>
              <w:rPr>
                <w:rFonts w:ascii="맑은 고딕" w:hAnsi="맑은 고딕" w:eastAsia="맑은 고딕"/>
                <w:sz w:val="18"/>
              </w:rPr>
              <w:t>12 × 5</w:t>
            </w:r>
          </w:p>
        </w:tc>
        <w:tc>
          <w:tcPr>
            <w:tcW w:type="dxa" w:w="4082"/>
          </w:tcPr>
          <w:p>
            <w:r/>
            <w:r>
              <w:rPr>
                <w:rFonts w:ascii="맑은 고딕" w:hAnsi="맑은 고딕" w:eastAsia="맑은 고딕"/>
                <w:sz w:val="18"/>
              </w:rPr>
              <w:t>약 75대</w:t>
            </w:r>
          </w:p>
        </w:tc>
      </w:tr>
      <w:tr>
        <w:tc>
          <w:tcPr>
            <w:tcW w:type="dxa" w:w="1474"/>
          </w:tcPr>
          <w:p>
            <w:r/>
            <w:r>
              <w:rPr>
                <w:rFonts w:ascii="맑은 고딕" w:hAnsi="맑은 고딕" w:eastAsia="맑은 고딕"/>
                <w:sz w:val="18"/>
              </w:rPr>
              <w:t>Phase 2</w:t>
            </w:r>
          </w:p>
        </w:tc>
        <w:tc>
          <w:tcPr>
            <w:tcW w:type="dxa" w:w="3969"/>
          </w:tcPr>
          <w:p>
            <w:r/>
            <w:r>
              <w:rPr>
                <w:rFonts w:ascii="맑은 고딕" w:hAnsi="맑은 고딕" w:eastAsia="맑은 고딕"/>
                <w:sz w:val="18"/>
              </w:rPr>
              <w:t>3 × 3 × 2 × 5시점 × 3 (파괴 판독 가정)</w:t>
            </w:r>
          </w:p>
        </w:tc>
        <w:tc>
          <w:tcPr>
            <w:tcW w:type="dxa" w:w="4082"/>
          </w:tcPr>
          <w:p>
            <w:r/>
            <w:r>
              <w:rPr>
                <w:rFonts w:ascii="맑은 고딕" w:hAnsi="맑은 고딕" w:eastAsia="맑은 고딕"/>
                <w:sz w:val="18"/>
              </w:rPr>
              <w:t>약 320대 (비파괴 반복 판독 성립 시 약 110대로 축소)</w:t>
            </w:r>
          </w:p>
        </w:tc>
      </w:tr>
      <w:tr>
        <w:tc>
          <w:tcPr>
            <w:tcW w:type="dxa" w:w="1474"/>
          </w:tcPr>
          <w:p>
            <w:r/>
            <w:r>
              <w:rPr>
                <w:rFonts w:ascii="맑은 고딕" w:hAnsi="맑은 고딕" w:eastAsia="맑은 고딕"/>
                <w:sz w:val="18"/>
              </w:rPr>
              <w:t>Phase 3 + 보조</w:t>
            </w:r>
          </w:p>
        </w:tc>
        <w:tc>
          <w:tcPr>
            <w:tcW w:type="dxa" w:w="3969"/>
          </w:tcPr>
          <w:p>
            <w:r/>
            <w:r>
              <w:rPr>
                <w:rFonts w:ascii="맑은 고딕" w:hAnsi="맑은 고딕" w:eastAsia="맑은 고딕"/>
                <w:sz w:val="18"/>
              </w:rPr>
              <w:t>—</w:t>
            </w:r>
          </w:p>
        </w:tc>
        <w:tc>
          <w:tcPr>
            <w:tcW w:type="dxa" w:w="4082"/>
          </w:tcPr>
          <w:p>
            <w:r/>
            <w:r>
              <w:rPr>
                <w:rFonts w:ascii="맑은 고딕" w:hAnsi="맑은 고딕" w:eastAsia="맑은 고딕"/>
                <w:sz w:val="18"/>
              </w:rPr>
              <w:t>약 40대</w:t>
            </w:r>
          </w:p>
        </w:tc>
      </w:tr>
      <w:tr>
        <w:tc>
          <w:tcPr>
            <w:tcW w:type="dxa" w:w="1474"/>
          </w:tcPr>
          <w:p>
            <w:r/>
            <w:r>
              <w:rPr>
                <w:rFonts w:ascii="맑은 고딕" w:hAnsi="맑은 고딕" w:eastAsia="맑은 고딕"/>
                <w:sz w:val="18"/>
              </w:rPr>
              <w:t>합계</w:t>
            </w:r>
          </w:p>
        </w:tc>
        <w:tc>
          <w:tcPr>
            <w:tcW w:type="dxa" w:w="3969"/>
          </w:tcPr>
          <w:p>
            <w:r/>
            <w:r>
              <w:rPr>
                <w:rFonts w:ascii="맑은 고딕" w:hAnsi="맑은 고딕" w:eastAsia="맑은 고딕"/>
                <w:sz w:val="18"/>
              </w:rPr>
              <w:t>—</w:t>
            </w:r>
          </w:p>
        </w:tc>
        <w:tc>
          <w:tcPr>
            <w:tcW w:type="dxa" w:w="4082"/>
          </w:tcPr>
          <w:p>
            <w:r/>
            <w:r>
              <w:rPr>
                <w:rFonts w:ascii="맑은 고딕" w:hAnsi="맑은 고딕" w:eastAsia="맑은 고딕"/>
                <w:sz w:val="18"/>
              </w:rPr>
              <w:t>약 200~440대 — 비파괴 판독 성립 여부가 최대 변수이므로 게이지 R&amp;R 을 최우선 착수</w:t>
            </w:r>
          </w:p>
        </w:tc>
      </w:tr>
    </w:tbl>
    <w:p/>
    <w:p>
      <w:r>
        <w:rPr>
          <w:rFonts w:ascii="맑은 고딕" w:hAnsi="맑은 고딕" w:eastAsia="맑은 고딕"/>
          <w:b w:val="0"/>
          <w:i w:val="0"/>
        </w:rPr>
        <w:t>소요량을 크게 좌우하는 변수가 두 가지다. 첫째, 동일 개체를 시점마다 반복 판독(비파괴)할 수 있으면 소요량이 약 1/3 로 준다. 단 반복 판독은 조명 노출·부트 이력을 누적시키므로 '반복 판독이 진행 속도를 바꾸지 않는가'를 Phase 1 소군(n=5)으로 먼저 확인한 뒤 채택한다. 둘째, UV 리셋으로 개체가 초기 상태로 복원된다면 같은 개체를 여러 조건에 재투입할 수 있어 소요량이 추가로 절반 이하까지 내려간다. 다만 리셋 사이클마다 잔류 개시제가 소모되고 비가역 성분이 누적되므로, §5.2 나 레그에서 확인되는 '유효 리셋 사이클 수'와 '회복률 하락 시점'이 재사용 상한을 결정한다.</w:t>
      </w:r>
    </w:p>
    <w:p>
      <w:pPr>
        <w:pStyle w:val="Heading1"/>
      </w:pPr>
      <w:r>
        <w:t>6. 평가 방법 — RGB 분리 측정 프로토콜</w:t>
      </w:r>
    </w:p>
    <w:p>
      <w:pPr>
        <w:pStyle w:val="Heading2"/>
      </w:pPr>
      <w:r>
        <w:t>6.1 단색 전면 패턴이 주가설을 검증하는 원리</w:t>
      </w:r>
    </w:p>
    <w:p>
      <w:r>
        <w:rPr>
          <w:rFonts w:ascii="맑은 고딕" w:hAnsi="맑은 고딕" w:eastAsia="맑은 고딕"/>
          <w:b w:val="0"/>
          <w:i w:val="0"/>
        </w:rPr>
        <w:t>R / G / B 단색 전면 표시는 판독 편의가 아니라 주가설 H1c 를 직접 검증하는 축이다. H1c 는 소광 감수성이 발광체의 무산소 여기 수명 τ₀ 에 비례한다고 예측하므로(Stern-Volmer), 인광 도판트를 쓰는 적·녹(τ₀ ≈ 1 µs 급)과 형광·TADF 계열 청색(τ₀ ≈ 1~10 ns 급)의 소광 정도가 10²~10³ 배 차이나야 한다(경험칙). 색별 액자 폭의 대소 관계가 곧 이 예측의 성립 여부이며, 동시에 어느 발광체·어느 경로가 영향받는지를 분리한다. 패턴은 R / G / B / W 전면과 계조 사다리를 쓴다.</w:t>
      </w:r>
    </w:p>
    <w:tbl>
      <w:tblPr>
        <w:tblStyle w:val="TableGrid"/>
        <w:tblW w:type="auto" w:w="0"/>
        <w:tblLook w:firstColumn="1" w:firstRow="1" w:lastColumn="0" w:lastRow="0" w:noHBand="0" w:noVBand="1" w:val="04A0"/>
      </w:tblPr>
      <w:tblGrid>
        <w:gridCol w:w="4320"/>
        <w:gridCol w:w="4320"/>
      </w:tblGrid>
      <w:tr>
        <w:tc>
          <w:tcPr>
            <w:tcW w:type="dxa" w:w="3175"/>
          </w:tcPr>
          <w:p>
            <w:r/>
            <w:r>
              <w:rPr>
                <w:rFonts w:ascii="맑은 고딕" w:hAnsi="맑은 고딕" w:eastAsia="맑은 고딕"/>
                <w:b/>
                <w:sz w:val="18"/>
              </w:rPr>
              <w:t>관측 결과</w:t>
            </w:r>
          </w:p>
        </w:tc>
        <w:tc>
          <w:tcPr>
            <w:tcW w:type="dxa" w:w="6350"/>
          </w:tcPr>
          <w:p>
            <w:r/>
            <w:r>
              <w:rPr>
                <w:rFonts w:ascii="맑은 고딕" w:hAnsi="맑은 고딕" w:eastAsia="맑은 고딕"/>
                <w:b/>
                <w:sz w:val="18"/>
              </w:rPr>
              <w:t>가설 판정</w:t>
            </w:r>
          </w:p>
        </w:tc>
      </w:tr>
      <w:tr>
        <w:tc>
          <w:tcPr>
            <w:tcW w:type="dxa" w:w="3175"/>
          </w:tcPr>
          <w:p>
            <w:r/>
            <w:r>
              <w:rPr>
                <w:rFonts w:ascii="맑은 고딕" w:hAnsi="맑은 고딕" w:eastAsia="맑은 고딕"/>
                <w:sz w:val="18"/>
              </w:rPr>
              <w:t>w_R &gt; w_G ≫ w_B 이고, 폭의 비가 각 발광체의 τ₀ 비와 정합</w:t>
            </w:r>
          </w:p>
        </w:tc>
        <w:tc>
          <w:tcPr>
            <w:tcW w:type="dxa" w:w="6350"/>
          </w:tcPr>
          <w:p>
            <w:r/>
            <w:r>
              <w:rPr>
                <w:rFonts w:ascii="맑은 고딕" w:hAnsi="맑은 고딕" w:eastAsia="맑은 고딕"/>
                <w:sz w:val="18"/>
              </w:rPr>
              <w:t>H1c 지지 — 산소 소광의 핵심 예측이 정량으로 확인된다. 이 정합은 확산계수와 무관하게 성립하므로 피팅 없이 검증되는 강한 증거다(§9.4)</w:t>
            </w:r>
          </w:p>
        </w:tc>
      </w:tr>
      <w:tr>
        <w:tc>
          <w:tcPr>
            <w:tcW w:type="dxa" w:w="3175"/>
          </w:tcPr>
          <w:p>
            <w:r/>
            <w:r>
              <w:rPr>
                <w:rFonts w:ascii="맑은 고딕" w:hAnsi="맑은 고딕" w:eastAsia="맑은 고딕"/>
                <w:sz w:val="18"/>
              </w:rPr>
              <w:t>적색만 액자, 녹색 완전 무영향</w:t>
            </w:r>
          </w:p>
        </w:tc>
        <w:tc>
          <w:tcPr>
            <w:tcW w:type="dxa" w:w="6350"/>
          </w:tcPr>
          <w:p>
            <w:r/>
            <w:r>
              <w:rPr>
                <w:rFonts w:ascii="맑은 고딕" w:hAnsi="맑은 고딕" w:eastAsia="맑은 고딕"/>
                <w:sz w:val="18"/>
              </w:rPr>
              <w:t>H1c 부분 반증 — 수명 차이만으로는 설명 불가. 발광층 스택 위치, 호스트의 O₂ 용해도, 도판트 농도 같은 추가 인자로 보완되거나 적색 특이 경로(적색 CF 광경로·적색 서브픽셀 조건)로 이동</w:t>
            </w:r>
          </w:p>
        </w:tc>
      </w:tr>
      <w:tr>
        <w:tc>
          <w:tcPr>
            <w:tcW w:type="dxa" w:w="3175"/>
          </w:tcPr>
          <w:p>
            <w:r/>
            <w:r>
              <w:rPr>
                <w:rFonts w:ascii="맑은 고딕" w:hAnsi="맑은 고딕" w:eastAsia="맑은 고딕"/>
                <w:sz w:val="18"/>
              </w:rPr>
              <w:t>청색 액자가 가장 넓음</w:t>
            </w:r>
          </w:p>
        </w:tc>
        <w:tc>
          <w:tcPr>
            <w:tcW w:type="dxa" w:w="6350"/>
          </w:tcPr>
          <w:p>
            <w:r/>
            <w:r>
              <w:rPr>
                <w:rFonts w:ascii="맑은 고딕" w:hAnsi="맑은 고딕" w:eastAsia="맑은 고딕"/>
                <w:sz w:val="18"/>
              </w:rPr>
              <w:t>H1c 반증 — 소광 감수성 순서와 정반대다. 통상 열화 민감도 순서와 일치하므로 비가역 열화형을 의심하고 UV 리셋 분류기로 교차 확인</w:t>
            </w:r>
          </w:p>
        </w:tc>
      </w:tr>
      <w:tr>
        <w:tc>
          <w:tcPr>
            <w:tcW w:type="dxa" w:w="3175"/>
          </w:tcPr>
          <w:p>
            <w:r/>
            <w:r>
              <w:rPr>
                <w:rFonts w:ascii="맑은 고딕" w:hAnsi="맑은 고딕" w:eastAsia="맑은 고딕"/>
                <w:sz w:val="18"/>
              </w:rPr>
              <w:t>세 색 폭이 거의 동일</w:t>
            </w:r>
          </w:p>
        </w:tc>
        <w:tc>
          <w:tcPr>
            <w:tcW w:type="dxa" w:w="6350"/>
          </w:tcPr>
          <w:p>
            <w:r/>
            <w:r>
              <w:rPr>
                <w:rFonts w:ascii="맑은 고딕" w:hAnsi="맑은 고딕" w:eastAsia="맑은 고딕"/>
                <w:sz w:val="18"/>
              </w:rPr>
              <w:t>발광체 수명과 무관한 공통층 기전(음극·EIL 주입 저하 등)으로 이동 — H2 계열 가중</w:t>
            </w:r>
          </w:p>
        </w:tc>
      </w:tr>
      <w:tr>
        <w:tc>
          <w:tcPr>
            <w:tcW w:type="dxa" w:w="3175"/>
          </w:tcPr>
          <w:p>
            <w:r/>
            <w:r>
              <w:rPr>
                <w:rFonts w:ascii="맑은 고딕" w:hAnsi="맑은 고딕" w:eastAsia="맑은 고딕"/>
                <w:sz w:val="18"/>
              </w:rPr>
              <w:t>W 전면의 Δu'v' 시프트</w:t>
            </w:r>
          </w:p>
        </w:tc>
        <w:tc>
          <w:tcPr>
            <w:tcW w:type="dxa" w:w="6350"/>
          </w:tcPr>
          <w:p>
            <w:r/>
            <w:r>
              <w:rPr>
                <w:rFonts w:ascii="맑은 고딕" w:hAnsi="맑은 고딕" w:eastAsia="맑은 고딕"/>
                <w:sz w:val="18"/>
              </w:rPr>
              <w:t>실사용 등가 색도 지표. APL 이 높아 ABL·열 캡이 개입하므로 DBV 고정·로그 병기가 필수이며, 전백 자유구동 상태의 판정은 무효</w:t>
            </w:r>
          </w:p>
        </w:tc>
      </w:tr>
    </w:tbl>
    <w:p/>
    <w:p>
      <w:pPr>
        <w:pStyle w:val="Heading2"/>
      </w:pPr>
      <w:r>
        <w:t>6.2 계조 사다리 — 문턱 효과의 직접 탐침</w:t>
      </w:r>
    </w:p>
    <w:p>
      <w:r>
        <w:rPr>
          <w:rFonts w:ascii="맑은 고딕" w:hAnsi="맑은 고딕" w:eastAsia="맑은 고딕"/>
          <w:b w:val="0"/>
          <w:i w:val="0"/>
        </w:rPr>
        <w:t>억제가 농도 문턱형(c &gt; c_th)이라면 구동 전류가 클수록 억제를 이기므로 계조가 높아질수록 액자 폭이 좁아진다. 반대로 계조와 무관하게 폭이 일정하면 해당 영역은 문턱 문제가 아니라 완전 소멸(dead area)이다. 즉 w(계조) 의존성 자체가 '가역 켄칭 vs 소멸'을 가르는 무비용 판별이다. 계조는 G16 / G32 / G64 / G128 / G255, DBV 는 저·중 2점을 기본으로 한다.</w:t>
      </w:r>
    </w:p>
    <w:p>
      <w:pPr>
        <w:pStyle w:val="Heading2"/>
      </w:pPr>
      <w:r>
        <w:t>6.3 측정 아티팩트 — 계측계가 액자를 만들어낸다 (핵심 경고)</w:t>
      </w:r>
    </w:p>
    <w:p>
      <w:r>
        <w:rPr>
          <w:rFonts w:ascii="맑은 고딕" w:hAnsi="맑은 고딕" w:eastAsia="맑은 고딕"/>
          <w:b w:val="0"/>
          <w:i w:val="0"/>
        </w:rPr>
        <w:t>촬영 계측계가 만들어내는 두 가지 대표 아티팩트는 하필 본 현상과 똑같은 액자 모양이다. 보정 없이 촬영하면 계측 아티팩트를 현상으로 오독한다.</w:t>
      </w:r>
    </w:p>
    <w:p>
      <w:pPr>
        <w:pStyle w:val="ListNumber"/>
      </w:pPr>
      <w:r>
        <w:rPr>
          <w:rFonts w:ascii="맑은 고딕" w:hAnsi="맑은 고딕" w:eastAsia="맑은 고딕"/>
        </w:rPr>
        <w:t>렌즈 비네팅(cos⁴ 광량 저하) — 화면 주변부가 구조적으로 어둡게 찍힌다. 정확히 4변 대칭 액자 형태다. 균일광원 기반 플랫필드 보정을 매 측정 세션 적용하고, 보정 계수 자체의 유효기간을 SOP 에 규정한다.</w:t>
      </w:r>
    </w:p>
    <w:p>
      <w:pPr>
        <w:pStyle w:val="ListNumber"/>
      </w:pPr>
      <w:r>
        <w:rPr>
          <w:rFonts w:ascii="맑은 고딕" w:hAnsi="맑은 고딕" w:eastAsia="맑은 고딕"/>
        </w:rPr>
        <w:t>시야각 색변이 — 고정 거리 촬영에서 패널 가장자리는 사입사로 관측된다. OLED 마이크로캐비티 색변이가 가장자리에서만 나타나 액자로 읽힌다. 워킹 디스턴스를 패널 대각의 5배 이상(가장자리 입사각 6° 이하)으로 잡거나 텔레센트릭 렌즈를 쓴다.</w:t>
      </w:r>
    </w:p>
    <w:p>
      <w:pPr>
        <w:pStyle w:val="ListNumber"/>
      </w:pPr>
      <w:r>
        <w:rPr>
          <w:rFonts w:ascii="맑은 고딕" w:hAnsi="맑은 고딕" w:eastAsia="맑은 고딕"/>
        </w:rPr>
        <w:t>교차검증 — 분광복사계 스팟 다점(중앙 + 4변 근접 4점)을 각 지점 정면에서 측정해 이미징 결과와 대조한다. 두 계측이 어긋나면 그 차이가 곧 아티팩트 크기다.</w:t>
      </w:r>
    </w:p>
    <w:p>
      <w:pPr>
        <w:pStyle w:val="ListNumber"/>
      </w:pPr>
      <w:r>
        <w:rPr>
          <w:rFonts w:ascii="맑은 고딕" w:hAnsi="맑은 고딕" w:eastAsia="맑은 고딕"/>
        </w:rPr>
        <w:t>일반 카메라(DSLR·미러리스)의 한계 — 색필터 응답이 CIE 등색함수와 달라 색도 절대값을 줄 수 없다. 상대 휘도 맵 스크리닝 용도로만 허용하고, 확정 판정(§5 판정 문턱 적용)에는 사용을 금지한다.</w:t>
      </w:r>
    </w:p>
    <w:p>
      <w:pPr>
        <w:pStyle w:val="Heading2"/>
      </w:pPr>
      <w:r>
        <w:t>6.4 판독 정의와 게이지 R&amp;R</w:t>
      </w:r>
    </w:p>
    <w:p>
      <w:pPr>
        <w:pStyle w:val="ListBullet"/>
      </w:pPr>
      <w:r>
        <w:rPr>
          <w:rFonts w:ascii="맑은 고딕" w:hAnsi="맑은 고딕" w:eastAsia="맑은 고딕"/>
        </w:rPr>
        <w:t>액자 폭 w 정의: 각 변에 수직인 프로파일에서 중앙부 기준 대비 문턱을 넘는 지점까지의 거리. 문턱 정의를 SOP 에 고정한다(안: 중앙 대비 상대 휘도 −10 % 또는 Δu'v' 0.004 — 게이지 R&amp;R 결과로 확정). 4변 개별 기록 + 코너 곡률(확산 지문)을 함께 남긴다.</w:t>
      </w:r>
    </w:p>
    <w:p>
      <w:pPr>
        <w:pStyle w:val="ListBullet"/>
      </w:pPr>
      <w:r>
        <w:rPr>
          <w:rFonts w:ascii="맑은 고딕" w:hAnsi="맑은 고딕" w:eastAsia="맑은 고딕"/>
        </w:rPr>
        <w:t>게이지 R&amp;R: 동일 개체 반복 측정 10회 이상 × 작업자 3인으로 w 반복성 σ 를 확정하고, 유의 변화 문턱을 2σ 로 둔다. 이 값이 Phase 2 시간 사다리 간격과 샘플 수를 결정하므로 W1 최우선 항목이다.</w:t>
      </w:r>
    </w:p>
    <w:p>
      <w:pPr>
        <w:pStyle w:val="Heading2"/>
      </w:pPr>
      <w:r>
        <w:t>6.5 판독 대상 — 세트(스마트폰) 상태에서 단색 전면 표시·촬영</w:t>
      </w:r>
    </w:p>
    <w:p>
      <w:r>
        <w:rPr>
          <w:rFonts w:ascii="맑은 고딕" w:hAnsi="맑은 고딕" w:eastAsia="맑은 고딕"/>
          <w:b w:val="0"/>
          <w:i w:val="0"/>
        </w:rPr>
        <w:t>판독은 방치한 모듈을 세트로 조립한 뒤, 스마트폰에 R / G / B / W 전면 이미지와 계조 사다리를 표시하고 촬영·정량화하는 방식을 정본으로 한다. 실사용 등가이며 부팅 래치·보상 센싱 거동까지 함께 판정할 수 있는 유일한 경로이기 때문이다. 다만 세트 표시 경로에는 색·밝기 정책이 개입하므로 아래 잠금 없이는 측정값이 성립하지 않는다.</w:t>
      </w:r>
    </w:p>
    <w:p>
      <w:r>
        <w:rPr>
          <w:rFonts w:ascii="맑은 고딕" w:hAnsi="맑은 고딕" w:eastAsia="맑은 고딕"/>
          <w:b/>
          <w:i w:val="0"/>
        </w:rPr>
        <w:t>가. 표시 경로 잠금 — 판독 직전 전수 확인 항목</w:t>
      </w:r>
    </w:p>
    <w:p>
      <w:pPr>
        <w:pStyle w:val="ListBullet"/>
      </w:pPr>
      <w:r>
        <w:rPr>
          <w:rFonts w:ascii="맑은 고딕" w:hAnsi="맑은 고딕" w:eastAsia="맑은 고딕"/>
        </w:rPr>
        <w:t>색 경로: 색모드 '내추럴' 고정(비비드 금지 — P3 확장으로 R 구동이 달라짐), 눈 보호 모드(Night mode) OFF, 다크 모드·화면 색조 보정 OFF, 이미지는 sRGB 명시 태깅 PNG 를 몰입 전체화면(상태바·내비바 숨김)으로 표시. 무태깅 이미지는 기기·버전별 처리가 달라 금지한다.</w:t>
      </w:r>
    </w:p>
    <w:p>
      <w:pPr>
        <w:pStyle w:val="ListBullet"/>
      </w:pPr>
      <w:r>
        <w:rPr>
          <w:rFonts w:ascii="맑은 고딕" w:hAnsi="맑은 고딕" w:eastAsia="맑은 고딕"/>
        </w:rPr>
        <w:t>밝기 경로: 자동 밝기 OFF, Extra Dim OFF, 적응형 밝기 학습 초기화. 밝기는 슬라이더 % 가 아니라 DBV(또는 실측 nit)로 지정·기록한다. 개발자 옵션 또는 adb 로 고정하고, 판독 중 열 캡·ABL 개입 여부를 로그로 확인한다.</w:t>
      </w:r>
    </w:p>
    <w:p>
      <w:pPr>
        <w:pStyle w:val="ListBullet"/>
      </w:pPr>
      <w:r>
        <w:rPr>
          <w:rFonts w:ascii="맑은 고딕" w:hAnsi="맑은 고딕" w:eastAsia="맑은 고딕"/>
        </w:rPr>
        <w:t>열·전원 상태: 충전 케이블 분리(발열·전압 변동 회피), 배터리 잔량 구간 고정(권장 40~80 %), 표시 개시 후 열 안정화 시간 고정(권장 3분) 후 촬영. 고 APL 패턴(W·G255)은 ABL 개입 가능성이 커 DBV 로그 병기가 필수다.</w:t>
      </w:r>
    </w:p>
    <w:p>
      <w:pPr>
        <w:pStyle w:val="ListBullet"/>
      </w:pPr>
      <w:r>
        <w:rPr>
          <w:rFonts w:ascii="맑은 고딕" w:hAnsi="맑은 고딕" w:eastAsia="맑은 고딕"/>
        </w:rPr>
        <w:t>소스 무결성 검증: 표시 중 스크린샷을 취득해 원본 이미지가 균일한지 확인한다. 스크린샷이 균일한데 촬영 결과에 액자가 있으면 합성 상류(SW)가 아니라 하류(패널·표시) 기인이라는 1차 분리가 무비용으로 성립한다.</w:t>
      </w:r>
    </w:p>
    <w:p>
      <w:r>
        <w:rPr>
          <w:rFonts w:ascii="맑은 고딕" w:hAnsi="맑은 고딕" w:eastAsia="맑은 고딕"/>
          <w:b/>
          <w:i w:val="0"/>
        </w:rPr>
        <w:t>나. 스마트폰 고유 측정 아티팩트 — §6.3 에 추가되는 항목</w:t>
      </w:r>
    </w:p>
    <w:p>
      <w:pPr>
        <w:pStyle w:val="ListNumber"/>
      </w:pPr>
      <w:r>
        <w:rPr>
          <w:rFonts w:ascii="맑은 고딕" w:hAnsi="맑은 고딕" w:eastAsia="맑은 고딕"/>
        </w:rPr>
        <w:t>곡면 엣지·라운드 코너 — 화면 테두리가 곡률을 가지면 그 구간만 관측 입사각이 급격히 달라져 색·휘도가 변한다. 이 역시 액자 모양이다. 곡률 구간은 별도 마스크로 분리해 w 산출에서 제외하거나, 평탄부만으로 w 를 정의하고 곡률부는 참고값으로 기록한다.</w:t>
      </w:r>
    </w:p>
    <w:p>
      <w:pPr>
        <w:pStyle w:val="ListNumber"/>
      </w:pPr>
      <w:r>
        <w:rPr>
          <w:rFonts w:ascii="맑은 고딕" w:hAnsi="맑은 고딕" w:eastAsia="맑은 고딕"/>
        </w:rPr>
        <w:t>커버글라스 반사·지문 — pol-less 구조는 종전 대비 반사가 다르게 관리되므로, 암실 조건과 표면 청결 절차(무진 와이프)를 판독 SOP 에 포함한다.</w:t>
      </w:r>
    </w:p>
    <w:p>
      <w:pPr>
        <w:pStyle w:val="ListNumber"/>
      </w:pPr>
      <w:r>
        <w:rPr>
          <w:rFonts w:ascii="맑은 고딕" w:hAnsi="맑은 고딕" w:eastAsia="맑은 고딕"/>
        </w:rPr>
        <w:t>좌표 기준 — 펀치홀 카메라 중심을 원점으로 하는 정규화 좌표로 액자 폭·얼룩 위치를 기록한다. 개체 간·시점 간 비교의 공통 좌표계가 되며, UPC 존 관련 분석과도 호환된다.</w:t>
      </w:r>
    </w:p>
    <w:p>
      <w:r>
        <w:rPr>
          <w:rFonts w:ascii="맑은 고딕" w:hAnsi="맑은 고딕" w:eastAsia="맑은 고딕"/>
          <w:b/>
          <w:i w:val="0"/>
        </w:rPr>
        <w:t>다. 콜드부트 프로토콜의 조작적 정의</w:t>
      </w:r>
    </w:p>
    <w:p>
      <w:r>
        <w:rPr>
          <w:rFonts w:ascii="맑은 고딕" w:hAnsi="맑은 고딕" w:eastAsia="맑은 고딕"/>
          <w:b w:val="0"/>
          <w:i w:val="0"/>
        </w:rPr>
        <w:t>부팅 래치(관측 3) 때문에 '무엇을 콜드부트로 볼 것인가'를 SOP 에 못박아야 한다. 완전 전원 차단 후 재기동과 소프트 재부팅(adb reboot)은 패널 전원·보상 센싱 시퀀스가 다를 수 있으므로 동일 취급을 금지하고, 둘의 등가성을 Phase 1 소군(n=5)으로 확인한 뒤 하나를 표준으로 채택한다. 판독 직전 절차는 '오프 체류 1 h → 표준 콜드부트 1회 → 워밍업 3분 → 촬영'으로 고정하고 부트 이벤트를 개체 이력에 남긴다.</w:t>
      </w:r>
    </w:p>
    <w:p>
      <w:r>
        <w:rPr>
          <w:rFonts w:ascii="맑은 고딕" w:hAnsi="맑은 고딕" w:eastAsia="맑은 고딕"/>
          <w:b/>
          <w:i w:val="0"/>
        </w:rPr>
        <w:t>라. 보조 트랙 — 모듈 구동 지그(선택)</w:t>
      </w:r>
    </w:p>
    <w:p>
      <w:r>
        <w:rPr>
          <w:rFonts w:ascii="맑은 고딕" w:hAnsi="맑은 고딕" w:eastAsia="맑은 고딕"/>
          <w:b w:val="0"/>
          <w:i w:val="0"/>
        </w:rPr>
        <w:t>세트 조립은 비가역이므로 시점마다 개체가 소모된다(파괴 판독). 샘플 수 부담이 클 경우 방치 중인 모듈을 벤더 eval 보드로 점등해 반복 판독하는 보조 트랙을 병행할 수 있다. 다만 이 경로는 세트의 보상 센싱 시퀀스를 재현하지 못해 래치 거동이 실사용과 다를 수 있으므로, 적용 범위를 Phase 2 의 속도론 w(t) 로만 한정하고 래치·필드 등가 판정은 반드시 세트 판독으로 한다. 채택 전 동일 조건에서 두 경로의 w 일치를 소군(n=5)으로 확인한다.</w:t>
      </w:r>
    </w:p>
    <w:p>
      <w:pPr>
        <w:pStyle w:val="Heading1"/>
      </w:pPr>
      <w:r>
        <w:t>7. 계측·시험 장비</w:t>
      </w:r>
    </w:p>
    <w:p>
      <w:pPr>
        <w:pStyle w:val="Heading2"/>
      </w:pPr>
      <w:r>
        <w:t>7.1 필수 — 없으면 시험이 성립하지 않는 항목</w:t>
      </w:r>
    </w:p>
    <w:p>
      <w:r>
        <w:rPr>
          <w:rFonts w:ascii="맑은 고딕" w:hAnsi="맑은 고딕" w:eastAsia="맑은 고딕"/>
          <w:b/>
          <w:i w:val="0"/>
        </w:rPr>
        <w:t>가. 세트(스마트폰) 제어·표시</w:t>
      </w:r>
    </w:p>
    <w:tbl>
      <w:tblPr>
        <w:tblStyle w:val="TableGrid"/>
        <w:tblW w:type="auto" w:w="0"/>
        <w:tblLook w:firstColumn="1" w:firstRow="1" w:lastColumn="0" w:lastRow="0" w:noHBand="0" w:noVBand="1" w:val="04A0"/>
      </w:tblPr>
      <w:tblGrid>
        <w:gridCol w:w="2880"/>
        <w:gridCol w:w="2880"/>
        <w:gridCol w:w="2880"/>
      </w:tblGrid>
      <w:tr>
        <w:tc>
          <w:tcPr>
            <w:tcW w:type="dxa" w:w="2608"/>
          </w:tcPr>
          <w:p>
            <w:r/>
            <w:r>
              <w:rPr>
                <w:rFonts w:ascii="맑은 고딕" w:hAnsi="맑은 고딕" w:eastAsia="맑은 고딕"/>
                <w:b/>
                <w:sz w:val="18"/>
              </w:rPr>
              <w:t>장비</w:t>
            </w:r>
          </w:p>
        </w:tc>
        <w:tc>
          <w:tcPr>
            <w:tcW w:type="dxa" w:w="2608"/>
          </w:tcPr>
          <w:p>
            <w:r/>
            <w:r>
              <w:rPr>
                <w:rFonts w:ascii="맑은 고딕" w:hAnsi="맑은 고딕" w:eastAsia="맑은 고딕"/>
                <w:b/>
                <w:sz w:val="18"/>
              </w:rPr>
              <w:t>용도</w:t>
            </w:r>
          </w:p>
        </w:tc>
        <w:tc>
          <w:tcPr>
            <w:tcW w:type="dxa" w:w="4309"/>
          </w:tcPr>
          <w:p>
            <w:r/>
            <w:r>
              <w:rPr>
                <w:rFonts w:ascii="맑은 고딕" w:hAnsi="맑은 고딕" w:eastAsia="맑은 고딕"/>
                <w:b/>
                <w:sz w:val="18"/>
              </w:rPr>
              <w:t>핵심 사양·비고</w:t>
            </w:r>
          </w:p>
        </w:tc>
      </w:tr>
      <w:tr>
        <w:tc>
          <w:tcPr>
            <w:tcW w:type="dxa" w:w="2608"/>
          </w:tcPr>
          <w:p>
            <w:r/>
            <w:r>
              <w:rPr>
                <w:rFonts w:ascii="맑은 고딕" w:hAnsi="맑은 고딕" w:eastAsia="맑은 고딕"/>
                <w:sz w:val="18"/>
              </w:rPr>
              <w:t>패턴 표시 앱 또는 이미지 세트</w:t>
            </w:r>
          </w:p>
        </w:tc>
        <w:tc>
          <w:tcPr>
            <w:tcW w:type="dxa" w:w="2608"/>
          </w:tcPr>
          <w:p>
            <w:r/>
            <w:r>
              <w:rPr>
                <w:rFonts w:ascii="맑은 고딕" w:hAnsi="맑은 고딕" w:eastAsia="맑은 고딕"/>
                <w:sz w:val="18"/>
              </w:rPr>
              <w:t>R/G/B/W 전면 + 계조 사다리 표시</w:t>
            </w:r>
          </w:p>
        </w:tc>
        <w:tc>
          <w:tcPr>
            <w:tcW w:type="dxa" w:w="4309"/>
          </w:tcPr>
          <w:p>
            <w:r/>
            <w:r>
              <w:rPr>
                <w:rFonts w:ascii="맑은 고딕" w:hAnsi="맑은 고딕" w:eastAsia="맑은 고딕"/>
                <w:sz w:val="18"/>
              </w:rPr>
              <w:t>sRGB 명시 태깅 PNG, 몰입 전체화면(상태바·내비바 숨김), 패턴 전환 자동화. 간이 앱 자체 제작 권장</w:t>
            </w:r>
          </w:p>
        </w:tc>
      </w:tr>
      <w:tr>
        <w:tc>
          <w:tcPr>
            <w:tcW w:type="dxa" w:w="2608"/>
          </w:tcPr>
          <w:p>
            <w:r/>
            <w:r>
              <w:rPr>
                <w:rFonts w:ascii="맑은 고딕" w:hAnsi="맑은 고딕" w:eastAsia="맑은 고딕"/>
                <w:sz w:val="18"/>
              </w:rPr>
              <w:t>adb 호스트 PC + 자동화 스크립트</w:t>
            </w:r>
          </w:p>
        </w:tc>
        <w:tc>
          <w:tcPr>
            <w:tcW w:type="dxa" w:w="2608"/>
          </w:tcPr>
          <w:p>
            <w:r/>
            <w:r>
              <w:rPr>
                <w:rFonts w:ascii="맑은 고딕" w:hAnsi="맑은 고딕" w:eastAsia="맑은 고딕"/>
                <w:sz w:val="18"/>
              </w:rPr>
              <w:t>표시 경로 잠금, 밝기 DBV 고정, 패턴 전환, 스크린샷 취득, 로그 수집</w:t>
            </w:r>
          </w:p>
        </w:tc>
        <w:tc>
          <w:tcPr>
            <w:tcW w:type="dxa" w:w="4309"/>
          </w:tcPr>
          <w:p>
            <w:r/>
            <w:r>
              <w:rPr>
                <w:rFonts w:ascii="맑은 고딕" w:hAnsi="맑은 고딕" w:eastAsia="맑은 고딕"/>
                <w:sz w:val="18"/>
              </w:rPr>
              <w:t>자동 밝기·Night mode·Extra Dim OFF 강제와 상태 검증을 판독마다 자동 실행 — 수동 설정은 누락 위험이 커 금지</w:t>
            </w:r>
          </w:p>
        </w:tc>
      </w:tr>
      <w:tr>
        <w:tc>
          <w:tcPr>
            <w:tcW w:type="dxa" w:w="2608"/>
          </w:tcPr>
          <w:p>
            <w:r/>
            <w:r>
              <w:rPr>
                <w:rFonts w:ascii="맑은 고딕" w:hAnsi="맑은 고딕" w:eastAsia="맑은 고딕"/>
                <w:sz w:val="18"/>
              </w:rPr>
              <w:t>스마트폰 고정 지그</w:t>
            </w:r>
          </w:p>
        </w:tc>
        <w:tc>
          <w:tcPr>
            <w:tcW w:type="dxa" w:w="2608"/>
          </w:tcPr>
          <w:p>
            <w:r/>
            <w:r>
              <w:rPr>
                <w:rFonts w:ascii="맑은 고딕" w:hAnsi="맑은 고딕" w:eastAsia="맑은 고딕"/>
                <w:sz w:val="18"/>
              </w:rPr>
              <w:t>촬영 위치·자세 재현</w:t>
            </w:r>
          </w:p>
        </w:tc>
        <w:tc>
          <w:tcPr>
            <w:tcW w:type="dxa" w:w="4309"/>
          </w:tcPr>
          <w:p>
            <w:r/>
            <w:r>
              <w:rPr>
                <w:rFonts w:ascii="맑은 고딕" w:hAnsi="맑은 고딕" w:eastAsia="맑은 고딕"/>
                <w:sz w:val="18"/>
              </w:rPr>
              <w:t>광축 수직 정렬, 반복 배치 ±0.1 mm. 곡면 엣지 마스크 좌표의 재현성을 좌우</w:t>
            </w:r>
          </w:p>
        </w:tc>
      </w:tr>
      <w:tr>
        <w:tc>
          <w:tcPr>
            <w:tcW w:type="dxa" w:w="2608"/>
          </w:tcPr>
          <w:p>
            <w:r/>
            <w:r>
              <w:rPr>
                <w:rFonts w:ascii="맑은 고딕" w:hAnsi="맑은 고딕" w:eastAsia="맑은 고딕"/>
                <w:sz w:val="18"/>
              </w:rPr>
              <w:t>USB 전원 릴레이 / 충전 제어</w:t>
            </w:r>
          </w:p>
        </w:tc>
        <w:tc>
          <w:tcPr>
            <w:tcW w:type="dxa" w:w="2608"/>
          </w:tcPr>
          <w:p>
            <w:r/>
            <w:r>
              <w:rPr>
                <w:rFonts w:ascii="맑은 고딕" w:hAnsi="맑은 고딕" w:eastAsia="맑은 고딕"/>
                <w:sz w:val="18"/>
              </w:rPr>
              <w:t>콜드부트 프로토콜 자동화, 충전 분리 상태 유지</w:t>
            </w:r>
          </w:p>
        </w:tc>
        <w:tc>
          <w:tcPr>
            <w:tcW w:type="dxa" w:w="4309"/>
          </w:tcPr>
          <w:p>
            <w:r/>
            <w:r>
              <w:rPr>
                <w:rFonts w:ascii="맑은 고딕" w:hAnsi="맑은 고딕" w:eastAsia="맑은 고딕"/>
                <w:sz w:val="18"/>
              </w:rPr>
              <w:t>오프 체류 시간·부트 횟수 자동 로깅(래치 통제의 전제)</w:t>
            </w:r>
          </w:p>
        </w:tc>
      </w:tr>
      <w:tr>
        <w:tc>
          <w:tcPr>
            <w:tcW w:type="dxa" w:w="2608"/>
          </w:tcPr>
          <w:p>
            <w:r/>
            <w:r>
              <w:rPr>
                <w:rFonts w:ascii="맑은 고딕" w:hAnsi="맑은 고딕" w:eastAsia="맑은 고딕"/>
                <w:sz w:val="18"/>
              </w:rPr>
              <w:t>(선택) 모듈 구동 지그 / 벤더 eval 보드</w:t>
            </w:r>
          </w:p>
        </w:tc>
        <w:tc>
          <w:tcPr>
            <w:tcW w:type="dxa" w:w="2608"/>
          </w:tcPr>
          <w:p>
            <w:r/>
            <w:r>
              <w:rPr>
                <w:rFonts w:ascii="맑은 고딕" w:hAnsi="맑은 고딕" w:eastAsia="맑은 고딕"/>
                <w:sz w:val="18"/>
              </w:rPr>
              <w:t>보조 트랙 — 모듈 상태 반복 판독</w:t>
            </w:r>
          </w:p>
        </w:tc>
        <w:tc>
          <w:tcPr>
            <w:tcW w:type="dxa" w:w="4309"/>
          </w:tcPr>
          <w:p>
            <w:r/>
            <w:r>
              <w:rPr>
                <w:rFonts w:ascii="맑은 고딕" w:hAnsi="맑은 고딕" w:eastAsia="맑은 고딕"/>
                <w:sz w:val="18"/>
              </w:rPr>
              <w:t>FPC 정합, DBV·계조 직접 지정 가능할 것. 벤더 협조 항목</w:t>
            </w:r>
          </w:p>
        </w:tc>
      </w:tr>
      <w:tr>
        <w:tc>
          <w:tcPr>
            <w:tcW w:type="dxa" w:w="2608"/>
          </w:tcPr>
          <w:p>
            <w:r/>
            <w:r>
              <w:rPr>
                <w:rFonts w:ascii="맑은 고딕" w:hAnsi="맑은 고딕" w:eastAsia="맑은 고딕"/>
                <w:sz w:val="18"/>
              </w:rPr>
              <w:t>(선택) 소스미터 / DMM</w:t>
            </w:r>
          </w:p>
        </w:tc>
        <w:tc>
          <w:tcPr>
            <w:tcW w:type="dxa" w:w="2608"/>
          </w:tcPr>
          <w:p>
            <w:r/>
            <w:r>
              <w:rPr>
                <w:rFonts w:ascii="맑은 고딕" w:hAnsi="맑은 고딕" w:eastAsia="맑은 고딕"/>
                <w:sz w:val="18"/>
              </w:rPr>
              <w:t>모듈 J-V 시프트 확인</w:t>
            </w:r>
          </w:p>
        </w:tc>
        <w:tc>
          <w:tcPr>
            <w:tcW w:type="dxa" w:w="4309"/>
          </w:tcPr>
          <w:p>
            <w:r/>
            <w:r>
              <w:rPr>
                <w:rFonts w:ascii="맑은 고딕" w:hAnsi="맑은 고딕" w:eastAsia="맑은 고딕"/>
                <w:sz w:val="18"/>
              </w:rPr>
              <w:t>보조 트랙에서만 가능. 액자부 전기 특성 동반 여부 판정용</w:t>
            </w:r>
          </w:p>
        </w:tc>
      </w:tr>
    </w:tbl>
    <w:p/>
    <w:p>
      <w:r>
        <w:rPr>
          <w:rFonts w:ascii="맑은 고딕" w:hAnsi="맑은 고딕" w:eastAsia="맑은 고딕"/>
          <w:b/>
          <w:i w:val="0"/>
        </w:rPr>
        <w:t>나. 광학 계측 — 본 시험의 심장부</w:t>
      </w:r>
    </w:p>
    <w:tbl>
      <w:tblPr>
        <w:tblStyle w:val="TableGrid"/>
        <w:tblW w:type="auto" w:w="0"/>
        <w:tblLook w:firstColumn="1" w:firstRow="1" w:lastColumn="0" w:lastRow="0" w:noHBand="0" w:noVBand="1" w:val="04A0"/>
      </w:tblPr>
      <w:tblGrid>
        <w:gridCol w:w="2880"/>
        <w:gridCol w:w="2880"/>
        <w:gridCol w:w="2880"/>
      </w:tblGrid>
      <w:tr>
        <w:tc>
          <w:tcPr>
            <w:tcW w:type="dxa" w:w="2608"/>
          </w:tcPr>
          <w:p>
            <w:r/>
            <w:r>
              <w:rPr>
                <w:rFonts w:ascii="맑은 고딕" w:hAnsi="맑은 고딕" w:eastAsia="맑은 고딕"/>
                <w:b/>
                <w:sz w:val="18"/>
              </w:rPr>
              <w:t>장비</w:t>
            </w:r>
          </w:p>
        </w:tc>
        <w:tc>
          <w:tcPr>
            <w:tcW w:type="dxa" w:w="2608"/>
          </w:tcPr>
          <w:p>
            <w:r/>
            <w:r>
              <w:rPr>
                <w:rFonts w:ascii="맑은 고딕" w:hAnsi="맑은 고딕" w:eastAsia="맑은 고딕"/>
                <w:b/>
                <w:sz w:val="18"/>
              </w:rPr>
              <w:t>용도</w:t>
            </w:r>
          </w:p>
        </w:tc>
        <w:tc>
          <w:tcPr>
            <w:tcW w:type="dxa" w:w="4309"/>
          </w:tcPr>
          <w:p>
            <w:r/>
            <w:r>
              <w:rPr>
                <w:rFonts w:ascii="맑은 고딕" w:hAnsi="맑은 고딕" w:eastAsia="맑은 고딕"/>
                <w:b/>
                <w:sz w:val="18"/>
              </w:rPr>
              <w:t>핵심 사양·비고</w:t>
            </w:r>
          </w:p>
        </w:tc>
      </w:tr>
      <w:tr>
        <w:tc>
          <w:tcPr>
            <w:tcW w:type="dxa" w:w="2608"/>
          </w:tcPr>
          <w:p>
            <w:r/>
            <w:r>
              <w:rPr>
                <w:rFonts w:ascii="맑은 고딕" w:hAnsi="맑은 고딕" w:eastAsia="맑은 고딕"/>
                <w:sz w:val="18"/>
              </w:rPr>
              <w:t>2D 이미징 색채계</w:t>
            </w:r>
          </w:p>
        </w:tc>
        <w:tc>
          <w:tcPr>
            <w:tcW w:type="dxa" w:w="2608"/>
          </w:tcPr>
          <w:p>
            <w:r/>
            <w:r>
              <w:rPr>
                <w:rFonts w:ascii="맑은 고딕" w:hAnsi="맑은 고딕" w:eastAsia="맑은 고딕"/>
                <w:sz w:val="18"/>
              </w:rPr>
              <w:t>Δu'v'·휘도 맵, 액자 폭 w 판독</w:t>
            </w:r>
          </w:p>
        </w:tc>
        <w:tc>
          <w:tcPr>
            <w:tcW w:type="dxa" w:w="4309"/>
          </w:tcPr>
          <w:p>
            <w:r/>
            <w:r>
              <w:rPr>
                <w:rFonts w:ascii="맑은 고딕" w:hAnsi="맑은 고딕" w:eastAsia="맑은 고딕"/>
                <w:sz w:val="18"/>
              </w:rPr>
              <w:t>Δu'v' 반복성 ≤ 0.001, 셰이딩(플랫필드) 보정 기능 필수, 패널 폭당 1000 px 이상 권장</w:t>
            </w:r>
          </w:p>
        </w:tc>
      </w:tr>
      <w:tr>
        <w:tc>
          <w:tcPr>
            <w:tcW w:type="dxa" w:w="2608"/>
          </w:tcPr>
          <w:p>
            <w:r/>
            <w:r>
              <w:rPr>
                <w:rFonts w:ascii="맑은 고딕" w:hAnsi="맑은 고딕" w:eastAsia="맑은 고딕"/>
                <w:sz w:val="18"/>
              </w:rPr>
              <w:t>분광복사계(스팟)</w:t>
            </w:r>
          </w:p>
        </w:tc>
        <w:tc>
          <w:tcPr>
            <w:tcW w:type="dxa" w:w="2608"/>
          </w:tcPr>
          <w:p>
            <w:r/>
            <w:r>
              <w:rPr>
                <w:rFonts w:ascii="맑은 고딕" w:hAnsi="맑은 고딕" w:eastAsia="맑은 고딕"/>
                <w:sz w:val="18"/>
              </w:rPr>
              <w:t>절대 기준, 이미징 색채계 교정, 아티팩트 교차검증</w:t>
            </w:r>
          </w:p>
        </w:tc>
        <w:tc>
          <w:tcPr>
            <w:tcW w:type="dxa" w:w="4309"/>
          </w:tcPr>
          <w:p>
            <w:r/>
            <w:r>
              <w:rPr>
                <w:rFonts w:ascii="맑은 고딕" w:hAnsi="맑은 고딕" w:eastAsia="맑은 고딕"/>
                <w:sz w:val="18"/>
              </w:rPr>
              <w:t>색도 정확도 ±0.0015 급. 중앙 + 4변 근접 4점 정면 측정</w:t>
            </w:r>
          </w:p>
        </w:tc>
      </w:tr>
      <w:tr>
        <w:tc>
          <w:tcPr>
            <w:tcW w:type="dxa" w:w="2608"/>
          </w:tcPr>
          <w:p>
            <w:r/>
            <w:r>
              <w:rPr>
                <w:rFonts w:ascii="맑은 고딕" w:hAnsi="맑은 고딕" w:eastAsia="맑은 고딕"/>
                <w:sz w:val="18"/>
              </w:rPr>
              <w:t>균일광원(적분구 출력형)</w:t>
            </w:r>
          </w:p>
        </w:tc>
        <w:tc>
          <w:tcPr>
            <w:tcW w:type="dxa" w:w="2608"/>
          </w:tcPr>
          <w:p>
            <w:r/>
            <w:r>
              <w:rPr>
                <w:rFonts w:ascii="맑은 고딕" w:hAnsi="맑은 고딕" w:eastAsia="맑은 고딕"/>
                <w:sz w:val="18"/>
              </w:rPr>
              <w:t>플랫필드 보정 기준</w:t>
            </w:r>
          </w:p>
        </w:tc>
        <w:tc>
          <w:tcPr>
            <w:tcW w:type="dxa" w:w="4309"/>
          </w:tcPr>
          <w:p>
            <w:r/>
            <w:r>
              <w:rPr>
                <w:rFonts w:ascii="맑은 고딕" w:hAnsi="맑은 고딕" w:eastAsia="맑은 고딕"/>
                <w:sz w:val="18"/>
              </w:rPr>
              <w:t>발광면 균일도 98 % 이상 — 비네팅 아티팩트 제거의 필수 조건</w:t>
            </w:r>
          </w:p>
        </w:tc>
      </w:tr>
      <w:tr>
        <w:tc>
          <w:tcPr>
            <w:tcW w:type="dxa" w:w="2608"/>
          </w:tcPr>
          <w:p>
            <w:r/>
            <w:r>
              <w:rPr>
                <w:rFonts w:ascii="맑은 고딕" w:hAnsi="맑은 고딕" w:eastAsia="맑은 고딕"/>
                <w:sz w:val="18"/>
              </w:rPr>
              <w:t>암실 부스 / 차광 인클로저</w:t>
            </w:r>
          </w:p>
        </w:tc>
        <w:tc>
          <w:tcPr>
            <w:tcW w:type="dxa" w:w="2608"/>
          </w:tcPr>
          <w:p>
            <w:r/>
            <w:r>
              <w:rPr>
                <w:rFonts w:ascii="맑은 고딕" w:hAnsi="맑은 고딕" w:eastAsia="맑은 고딕"/>
                <w:sz w:val="18"/>
              </w:rPr>
              <w:t>외광 차단(방치·판독 전 구간)</w:t>
            </w:r>
          </w:p>
        </w:tc>
        <w:tc>
          <w:tcPr>
            <w:tcW w:type="dxa" w:w="4309"/>
          </w:tcPr>
          <w:p>
            <w:r/>
            <w:r>
              <w:rPr>
                <w:rFonts w:ascii="맑은 고딕" w:hAnsi="맑은 고딕" w:eastAsia="맑은 고딕"/>
                <w:sz w:val="18"/>
              </w:rPr>
              <w:t>내부 무반사 처리, 잔류 조도 0.1 lx 미만. pol-less 스택은 외광이 리셋 인자이므로 필수</w:t>
            </w:r>
          </w:p>
        </w:tc>
      </w:tr>
      <w:tr>
        <w:tc>
          <w:tcPr>
            <w:tcW w:type="dxa" w:w="2608"/>
          </w:tcPr>
          <w:p>
            <w:r/>
            <w:r>
              <w:rPr>
                <w:rFonts w:ascii="맑은 고딕" w:hAnsi="맑은 고딕" w:eastAsia="맑은 고딕"/>
                <w:sz w:val="18"/>
              </w:rPr>
              <w:t>정밀 스테이지 + 키네마틱 마운트</w:t>
            </w:r>
          </w:p>
        </w:tc>
        <w:tc>
          <w:tcPr>
            <w:tcW w:type="dxa" w:w="2608"/>
          </w:tcPr>
          <w:p>
            <w:r/>
            <w:r>
              <w:rPr>
                <w:rFonts w:ascii="맑은 고딕" w:hAnsi="맑은 고딕" w:eastAsia="맑은 고딕"/>
                <w:sz w:val="18"/>
              </w:rPr>
              <w:t>측정 위치 재현</w:t>
            </w:r>
          </w:p>
        </w:tc>
        <w:tc>
          <w:tcPr>
            <w:tcW w:type="dxa" w:w="4309"/>
          </w:tcPr>
          <w:p>
            <w:r/>
            <w:r>
              <w:rPr>
                <w:rFonts w:ascii="맑은 고딕" w:hAnsi="맑은 고딕" w:eastAsia="맑은 고딕"/>
                <w:sz w:val="18"/>
              </w:rPr>
              <w:t>반복 배치 ±0.1 mm — w 반복성의 지배 인자</w:t>
            </w:r>
          </w:p>
        </w:tc>
      </w:tr>
      <w:tr>
        <w:tc>
          <w:tcPr>
            <w:tcW w:type="dxa" w:w="2608"/>
          </w:tcPr>
          <w:p>
            <w:r/>
            <w:r>
              <w:rPr>
                <w:rFonts w:ascii="맑은 고딕" w:hAnsi="맑은 고딕" w:eastAsia="맑은 고딕"/>
                <w:sz w:val="18"/>
              </w:rPr>
              <w:t>장초점 렌즈 또는 워킹 디스턴스 확보</w:t>
            </w:r>
          </w:p>
        </w:tc>
        <w:tc>
          <w:tcPr>
            <w:tcW w:type="dxa" w:w="2608"/>
          </w:tcPr>
          <w:p>
            <w:r/>
            <w:r>
              <w:rPr>
                <w:rFonts w:ascii="맑은 고딕" w:hAnsi="맑은 고딕" w:eastAsia="맑은 고딕"/>
                <w:sz w:val="18"/>
              </w:rPr>
              <w:t>시야각 아티팩트 억제</w:t>
            </w:r>
          </w:p>
        </w:tc>
        <w:tc>
          <w:tcPr>
            <w:tcW w:type="dxa" w:w="4309"/>
          </w:tcPr>
          <w:p>
            <w:r/>
            <w:r>
              <w:rPr>
                <w:rFonts w:ascii="맑은 고딕" w:hAnsi="맑은 고딕" w:eastAsia="맑은 고딕"/>
                <w:sz w:val="18"/>
              </w:rPr>
              <w:t>패널 대각의 5배 이상(가장자리 입사각 6° 이하) 또는 텔레센트릭</w:t>
            </w:r>
          </w:p>
        </w:tc>
      </w:tr>
    </w:tbl>
    <w:p/>
    <w:p>
      <w:r>
        <w:rPr>
          <w:rFonts w:ascii="맑은 고딕" w:hAnsi="맑은 고딕" w:eastAsia="맑은 고딕"/>
          <w:b/>
          <w:i w:val="0"/>
        </w:rPr>
        <w:t>다. 환경 시험 챔버</w:t>
      </w:r>
    </w:p>
    <w:tbl>
      <w:tblPr>
        <w:tblStyle w:val="TableGrid"/>
        <w:tblW w:type="auto" w:w="0"/>
        <w:tblLook w:firstColumn="1" w:firstRow="1" w:lastColumn="0" w:lastRow="0" w:noHBand="0" w:noVBand="1" w:val="04A0"/>
      </w:tblPr>
      <w:tblGrid>
        <w:gridCol w:w="2880"/>
        <w:gridCol w:w="2880"/>
        <w:gridCol w:w="2880"/>
      </w:tblGrid>
      <w:tr>
        <w:tc>
          <w:tcPr>
            <w:tcW w:type="dxa" w:w="2608"/>
          </w:tcPr>
          <w:p>
            <w:r/>
            <w:r>
              <w:rPr>
                <w:rFonts w:ascii="맑은 고딕" w:hAnsi="맑은 고딕" w:eastAsia="맑은 고딕"/>
                <w:b/>
                <w:sz w:val="18"/>
              </w:rPr>
              <w:t>장비</w:t>
            </w:r>
          </w:p>
        </w:tc>
        <w:tc>
          <w:tcPr>
            <w:tcW w:type="dxa" w:w="2608"/>
          </w:tcPr>
          <w:p>
            <w:r/>
            <w:r>
              <w:rPr>
                <w:rFonts w:ascii="맑은 고딕" w:hAnsi="맑은 고딕" w:eastAsia="맑은 고딕"/>
                <w:b/>
                <w:sz w:val="18"/>
              </w:rPr>
              <w:t>용도</w:t>
            </w:r>
          </w:p>
        </w:tc>
        <w:tc>
          <w:tcPr>
            <w:tcW w:type="dxa" w:w="4309"/>
          </w:tcPr>
          <w:p>
            <w:r/>
            <w:r>
              <w:rPr>
                <w:rFonts w:ascii="맑은 고딕" w:hAnsi="맑은 고딕" w:eastAsia="맑은 고딕"/>
                <w:b/>
                <w:sz w:val="18"/>
              </w:rPr>
              <w:t>핵심 사양·비고</w:t>
            </w:r>
          </w:p>
        </w:tc>
      </w:tr>
      <w:tr>
        <w:tc>
          <w:tcPr>
            <w:tcW w:type="dxa" w:w="2608"/>
          </w:tcPr>
          <w:p>
            <w:r/>
            <w:r>
              <w:rPr>
                <w:rFonts w:ascii="맑은 고딕" w:hAnsi="맑은 고딕" w:eastAsia="맑은 고딕"/>
                <w:sz w:val="18"/>
              </w:rPr>
              <w:t>가스 혼합 방치 챔버 + MFC</w:t>
            </w:r>
          </w:p>
        </w:tc>
        <w:tc>
          <w:tcPr>
            <w:tcW w:type="dxa" w:w="2608"/>
          </w:tcPr>
          <w:p>
            <w:r/>
            <w:r>
              <w:rPr>
                <w:rFonts w:ascii="맑은 고딕" w:hAnsi="맑은 고딕" w:eastAsia="맑은 고딕"/>
                <w:sz w:val="18"/>
              </w:rPr>
              <w:t>산소 분압 도스(O₂ 0 / 21 / 100 %)</w:t>
            </w:r>
          </w:p>
        </w:tc>
        <w:tc>
          <w:tcPr>
            <w:tcW w:type="dxa" w:w="4309"/>
          </w:tcPr>
          <w:p>
            <w:r/>
            <w:r>
              <w:rPr>
                <w:rFonts w:ascii="맑은 고딕" w:hAnsi="맑은 고딕" w:eastAsia="맑은 고딕"/>
                <w:sz w:val="18"/>
              </w:rPr>
              <w:t>총압 1 atm, N₂ 희석 방식. 챔버 내부 차광 필수</w:t>
            </w:r>
          </w:p>
        </w:tc>
      </w:tr>
      <w:tr>
        <w:tc>
          <w:tcPr>
            <w:tcW w:type="dxa" w:w="2608"/>
          </w:tcPr>
          <w:p>
            <w:r/>
            <w:r>
              <w:rPr>
                <w:rFonts w:ascii="맑은 고딕" w:hAnsi="맑은 고딕" w:eastAsia="맑은 고딕"/>
                <w:sz w:val="18"/>
              </w:rPr>
              <w:t>O₂ 농도계 + 안전 알람</w:t>
            </w:r>
          </w:p>
        </w:tc>
        <w:tc>
          <w:tcPr>
            <w:tcW w:type="dxa" w:w="2608"/>
          </w:tcPr>
          <w:p>
            <w:r/>
            <w:r>
              <w:rPr>
                <w:rFonts w:ascii="맑은 고딕" w:hAnsi="맑은 고딕" w:eastAsia="맑은 고딕"/>
                <w:sz w:val="18"/>
              </w:rPr>
              <w:t>도스 검증 및 안전</w:t>
            </w:r>
          </w:p>
        </w:tc>
        <w:tc>
          <w:tcPr>
            <w:tcW w:type="dxa" w:w="4309"/>
          </w:tcPr>
          <w:p>
            <w:r/>
            <w:r>
              <w:rPr>
                <w:rFonts w:ascii="맑은 고딕" w:hAnsi="맑은 고딕" w:eastAsia="맑은 고딕"/>
                <w:sz w:val="18"/>
              </w:rPr>
              <w:t>±1 % 정확도. 100 % O₂ 운용 시 발화원 관리·화재 안전 등급 확인</w:t>
            </w:r>
          </w:p>
        </w:tc>
      </w:tr>
      <w:tr>
        <w:tc>
          <w:tcPr>
            <w:tcW w:type="dxa" w:w="2608"/>
          </w:tcPr>
          <w:p>
            <w:r/>
            <w:r>
              <w:rPr>
                <w:rFonts w:ascii="맑은 고딕" w:hAnsi="맑은 고딕" w:eastAsia="맑은 고딕"/>
                <w:sz w:val="18"/>
              </w:rPr>
              <w:t>항온항습 챔버</w:t>
            </w:r>
          </w:p>
        </w:tc>
        <w:tc>
          <w:tcPr>
            <w:tcW w:type="dxa" w:w="2608"/>
          </w:tcPr>
          <w:p>
            <w:r/>
            <w:r>
              <w:rPr>
                <w:rFonts w:ascii="맑은 고딕" w:hAnsi="맑은 고딕" w:eastAsia="맑은 고딕"/>
                <w:sz w:val="18"/>
              </w:rPr>
              <w:t>온도 사다리(25/45/60 ℃), 습도 레그(85 %RH)</w:t>
            </w:r>
          </w:p>
        </w:tc>
        <w:tc>
          <w:tcPr>
            <w:tcW w:type="dxa" w:w="4309"/>
          </w:tcPr>
          <w:p>
            <w:r/>
            <w:r>
              <w:rPr>
                <w:rFonts w:ascii="맑은 고딕" w:hAnsi="맑은 고딕" w:eastAsia="맑은 고딕"/>
                <w:sz w:val="18"/>
              </w:rPr>
              <w:t>모듈 내열 상한 준수. 온도·습도 직교 설계</w:t>
            </w:r>
          </w:p>
        </w:tc>
      </w:tr>
      <w:tr>
        <w:tc>
          <w:tcPr>
            <w:tcW w:type="dxa" w:w="2608"/>
          </w:tcPr>
          <w:p>
            <w:r/>
            <w:r>
              <w:rPr>
                <w:rFonts w:ascii="맑은 고딕" w:hAnsi="맑은 고딕" w:eastAsia="맑은 고딕"/>
                <w:sz w:val="18"/>
              </w:rPr>
              <w:t>데이터로거</w:t>
            </w:r>
          </w:p>
        </w:tc>
        <w:tc>
          <w:tcPr>
            <w:tcW w:type="dxa" w:w="2608"/>
          </w:tcPr>
          <w:p>
            <w:r/>
            <w:r>
              <w:rPr>
                <w:rFonts w:ascii="맑은 고딕" w:hAnsi="맑은 고딕" w:eastAsia="맑은 고딕"/>
                <w:sz w:val="18"/>
              </w:rPr>
              <w:t>온도·습도·O₂ 농도 상시 기록</w:t>
            </w:r>
          </w:p>
        </w:tc>
        <w:tc>
          <w:tcPr>
            <w:tcW w:type="dxa" w:w="4309"/>
          </w:tcPr>
          <w:p>
            <w:r/>
            <w:r>
              <w:rPr>
                <w:rFonts w:ascii="맑은 고딕" w:hAnsi="맑은 고딕" w:eastAsia="맑은 고딕"/>
                <w:sz w:val="18"/>
              </w:rPr>
              <w:t>도스 이력의 사후 검증 — 챔버 이상 시 해당 레그 무효 판정 근거</w:t>
            </w:r>
          </w:p>
        </w:tc>
      </w:tr>
    </w:tbl>
    <w:p/>
    <w:p>
      <w:r>
        <w:rPr>
          <w:rFonts w:ascii="맑은 고딕" w:hAnsi="맑은 고딕" w:eastAsia="맑은 고딕"/>
          <w:b/>
          <w:i w:val="0"/>
        </w:rPr>
        <w:t>라. UV·광 조사</w:t>
      </w:r>
    </w:p>
    <w:tbl>
      <w:tblPr>
        <w:tblStyle w:val="TableGrid"/>
        <w:tblW w:type="auto" w:w="0"/>
        <w:tblLook w:firstColumn="1" w:firstRow="1" w:lastColumn="0" w:lastRow="0" w:noHBand="0" w:noVBand="1" w:val="04A0"/>
      </w:tblPr>
      <w:tblGrid>
        <w:gridCol w:w="2880"/>
        <w:gridCol w:w="2880"/>
        <w:gridCol w:w="2880"/>
      </w:tblGrid>
      <w:tr>
        <w:tc>
          <w:tcPr>
            <w:tcW w:type="dxa" w:w="2608"/>
          </w:tcPr>
          <w:p>
            <w:r/>
            <w:r>
              <w:rPr>
                <w:rFonts w:ascii="맑은 고딕" w:hAnsi="맑은 고딕" w:eastAsia="맑은 고딕"/>
                <w:b/>
                <w:sz w:val="18"/>
              </w:rPr>
              <w:t>장비</w:t>
            </w:r>
          </w:p>
        </w:tc>
        <w:tc>
          <w:tcPr>
            <w:tcW w:type="dxa" w:w="2608"/>
          </w:tcPr>
          <w:p>
            <w:r/>
            <w:r>
              <w:rPr>
                <w:rFonts w:ascii="맑은 고딕" w:hAnsi="맑은 고딕" w:eastAsia="맑은 고딕"/>
                <w:b/>
                <w:sz w:val="18"/>
              </w:rPr>
              <w:t>용도</w:t>
            </w:r>
          </w:p>
        </w:tc>
        <w:tc>
          <w:tcPr>
            <w:tcW w:type="dxa" w:w="4309"/>
          </w:tcPr>
          <w:p>
            <w:r/>
            <w:r>
              <w:rPr>
                <w:rFonts w:ascii="맑은 고딕" w:hAnsi="맑은 고딕" w:eastAsia="맑은 고딕"/>
                <w:b/>
                <w:sz w:val="18"/>
              </w:rPr>
              <w:t>핵심 사양·비고</w:t>
            </w:r>
          </w:p>
        </w:tc>
      </w:tr>
      <w:tr>
        <w:tc>
          <w:tcPr>
            <w:tcW w:type="dxa" w:w="2608"/>
          </w:tcPr>
          <w:p>
            <w:r/>
            <w:r>
              <w:rPr>
                <w:rFonts w:ascii="맑은 고딕" w:hAnsi="맑은 고딕" w:eastAsia="맑은 고딕"/>
                <w:sz w:val="18"/>
              </w:rPr>
              <w:t>파장 선택형 UV 광원</w:t>
            </w:r>
          </w:p>
        </w:tc>
        <w:tc>
          <w:tcPr>
            <w:tcW w:type="dxa" w:w="2608"/>
          </w:tcPr>
          <w:p>
            <w:r/>
            <w:r>
              <w:rPr>
                <w:rFonts w:ascii="맑은 고딕" w:hAnsi="맑은 고딕" w:eastAsia="맑은 고딕"/>
                <w:sz w:val="18"/>
              </w:rPr>
              <w:t>리셋 시험, UV 후경화 처리, 액션 스펙트럼 스윕</w:t>
            </w:r>
          </w:p>
        </w:tc>
        <w:tc>
          <w:tcPr>
            <w:tcW w:type="dxa" w:w="4309"/>
          </w:tcPr>
          <w:p>
            <w:r/>
            <w:r>
              <w:rPr>
                <w:rFonts w:ascii="맑은 고딕" w:hAnsi="맑은 고딕" w:eastAsia="맑은 고딕"/>
                <w:sz w:val="18"/>
              </w:rPr>
              <w:t>365 / 385 / 405 / 450 nm LED 어레이 또는 모노크로메이터+램프. 조사면 균일도 ±10 % 이내</w:t>
            </w:r>
          </w:p>
        </w:tc>
      </w:tr>
      <w:tr>
        <w:tc>
          <w:tcPr>
            <w:tcW w:type="dxa" w:w="2608"/>
          </w:tcPr>
          <w:p>
            <w:r/>
            <w:r>
              <w:rPr>
                <w:rFonts w:ascii="맑은 고딕" w:hAnsi="맑은 고딕" w:eastAsia="맑은 고딕"/>
                <w:sz w:val="18"/>
              </w:rPr>
              <w:t>UV 방사조도계 / 파워미터</w:t>
            </w:r>
          </w:p>
        </w:tc>
        <w:tc>
          <w:tcPr>
            <w:tcW w:type="dxa" w:w="2608"/>
          </w:tcPr>
          <w:p>
            <w:r/>
            <w:r>
              <w:rPr>
                <w:rFonts w:ascii="맑은 고딕" w:hAnsi="맑은 고딕" w:eastAsia="맑은 고딕"/>
                <w:sz w:val="18"/>
              </w:rPr>
              <w:t>선량 관리 및 상한 준수</w:t>
            </w:r>
          </w:p>
        </w:tc>
        <w:tc>
          <w:tcPr>
            <w:tcW w:type="dxa" w:w="4309"/>
          </w:tcPr>
          <w:p>
            <w:r/>
            <w:r>
              <w:rPr>
                <w:rFonts w:ascii="맑은 고딕" w:hAnsi="맑은 고딕" w:eastAsia="맑은 고딕"/>
                <w:sz w:val="18"/>
              </w:rPr>
              <w:t>파장별 교정 필수 — 선량 미관리 조사는 2차 열화를 유발해 개체를 폐기 대상으로 만든다</w:t>
            </w:r>
          </w:p>
        </w:tc>
      </w:tr>
      <w:tr>
        <w:tc>
          <w:tcPr>
            <w:tcW w:type="dxa" w:w="2608"/>
          </w:tcPr>
          <w:p>
            <w:r/>
            <w:r>
              <w:rPr>
                <w:rFonts w:ascii="맑은 고딕" w:hAnsi="맑은 고딕" w:eastAsia="맑은 고딕"/>
                <w:sz w:val="18"/>
              </w:rPr>
              <w:t>대면적 균일 조사 지그</w:t>
            </w:r>
          </w:p>
        </w:tc>
        <w:tc>
          <w:tcPr>
            <w:tcW w:type="dxa" w:w="2608"/>
          </w:tcPr>
          <w:p>
            <w:r/>
            <w:r>
              <w:rPr>
                <w:rFonts w:ascii="맑은 고딕" w:hAnsi="맑은 고딕" w:eastAsia="맑은 고딕"/>
                <w:sz w:val="18"/>
              </w:rPr>
              <w:t>전면 균일 리셋</w:t>
            </w:r>
          </w:p>
        </w:tc>
        <w:tc>
          <w:tcPr>
            <w:tcW w:type="dxa" w:w="4309"/>
          </w:tcPr>
          <w:p>
            <w:r/>
            <w:r>
              <w:rPr>
                <w:rFonts w:ascii="맑은 고딕" w:hAnsi="맑은 고딕" w:eastAsia="맑은 고딕"/>
                <w:sz w:val="18"/>
              </w:rPr>
              <w:t>조사 거리·시간 재현 구조, 개체별 누적 선량 이력 관리</w:t>
            </w:r>
          </w:p>
        </w:tc>
      </w:tr>
    </w:tbl>
    <w:p/>
    <w:p>
      <w:pPr>
        <w:pStyle w:val="Heading2"/>
      </w:pPr>
      <w:r>
        <w:t>7.2 권장 — 판별력을 크게 높이는 항목</w:t>
      </w:r>
    </w:p>
    <w:tbl>
      <w:tblPr>
        <w:tblStyle w:val="TableGrid"/>
        <w:tblW w:type="auto" w:w="0"/>
        <w:tblLook w:firstColumn="1" w:firstRow="1" w:lastColumn="0" w:lastRow="0" w:noHBand="0" w:noVBand="1" w:val="04A0"/>
      </w:tblPr>
      <w:tblGrid>
        <w:gridCol w:w="2880"/>
        <w:gridCol w:w="2880"/>
        <w:gridCol w:w="2880"/>
      </w:tblGrid>
      <w:tr>
        <w:tc>
          <w:tcPr>
            <w:tcW w:type="dxa" w:w="2721"/>
          </w:tcPr>
          <w:p>
            <w:r/>
            <w:r>
              <w:rPr>
                <w:rFonts w:ascii="맑은 고딕" w:hAnsi="맑은 고딕" w:eastAsia="맑은 고딕"/>
                <w:b/>
                <w:sz w:val="18"/>
              </w:rPr>
              <w:t>장비</w:t>
            </w:r>
          </w:p>
        </w:tc>
        <w:tc>
          <w:tcPr>
            <w:tcW w:type="dxa" w:w="2494"/>
          </w:tcPr>
          <w:p>
            <w:r/>
            <w:r>
              <w:rPr>
                <w:rFonts w:ascii="맑은 고딕" w:hAnsi="맑은 고딕" w:eastAsia="맑은 고딕"/>
                <w:b/>
                <w:sz w:val="18"/>
              </w:rPr>
              <w:t>용도</w:t>
            </w:r>
          </w:p>
        </w:tc>
        <w:tc>
          <w:tcPr>
            <w:tcW w:type="dxa" w:w="4309"/>
          </w:tcPr>
          <w:p>
            <w:r/>
            <w:r>
              <w:rPr>
                <w:rFonts w:ascii="맑은 고딕" w:hAnsi="맑은 고딕" w:eastAsia="맑은 고딕"/>
                <w:b/>
                <w:sz w:val="18"/>
              </w:rPr>
              <w:t>판단</w:t>
            </w:r>
          </w:p>
        </w:tc>
      </w:tr>
      <w:tr>
        <w:tc>
          <w:tcPr>
            <w:tcW w:type="dxa" w:w="2721"/>
          </w:tcPr>
          <w:p>
            <w:r/>
            <w:r>
              <w:rPr>
                <w:rFonts w:ascii="맑은 고딕" w:hAnsi="맑은 고딕" w:eastAsia="맑은 고딕"/>
                <w:sz w:val="18"/>
              </w:rPr>
              <w:t>UV-Vis 분광광도계(적분구 포함)</w:t>
            </w:r>
          </w:p>
        </w:tc>
        <w:tc>
          <w:tcPr>
            <w:tcW w:type="dxa" w:w="2494"/>
          </w:tcPr>
          <w:p>
            <w:r/>
            <w:r>
              <w:rPr>
                <w:rFonts w:ascii="맑은 고딕" w:hAnsi="맑은 고딕" w:eastAsia="맑은 고딕"/>
                <w:sz w:val="18"/>
              </w:rPr>
              <w:t>CF·OCA·윈도우 투과 스펙트럼 실측</w:t>
            </w:r>
          </w:p>
        </w:tc>
        <w:tc>
          <w:tcPr>
            <w:tcW w:type="dxa" w:w="4309"/>
          </w:tcPr>
          <w:p>
            <w:r/>
            <w:r>
              <w:rPr>
                <w:rFonts w:ascii="맑은 고딕" w:hAnsi="맑은 고딕" w:eastAsia="맑은 고딕"/>
                <w:sz w:val="18"/>
              </w:rPr>
              <w:t>액션 스펙트럼 대조와 필드 자연 리셋 판정의 기준선. 보유 없으면 외주로 대체 가능</w:t>
            </w:r>
          </w:p>
        </w:tc>
      </w:tr>
      <w:tr>
        <w:tc>
          <w:tcPr>
            <w:tcW w:type="dxa" w:w="2721"/>
          </w:tcPr>
          <w:p>
            <w:r/>
            <w:r>
              <w:rPr>
                <w:rFonts w:ascii="맑은 고딕" w:hAnsi="맑은 고딕" w:eastAsia="맑은 고딕"/>
                <w:sz w:val="18"/>
              </w:rPr>
              <w:t>PL 이미징 세트(UV 여기 + 롱패스 필터 + 냉각 CCD)</w:t>
            </w:r>
          </w:p>
        </w:tc>
        <w:tc>
          <w:tcPr>
            <w:tcW w:type="dxa" w:w="2494"/>
          </w:tcPr>
          <w:p>
            <w:r/>
            <w:r>
              <w:rPr>
                <w:rFonts w:ascii="맑은 고딕" w:hAnsi="맑은 고딕" w:eastAsia="맑은 고딕"/>
                <w:sz w:val="18"/>
              </w:rPr>
              <w:t>PL 맵 — 발광층 상태 vs 주입/트랩 분리</w:t>
            </w:r>
          </w:p>
        </w:tc>
        <w:tc>
          <w:tcPr>
            <w:tcW w:type="dxa" w:w="4309"/>
          </w:tcPr>
          <w:p>
            <w:r/>
            <w:r>
              <w:rPr>
                <w:rFonts w:ascii="맑은 고딕" w:hAnsi="맑은 고딕" w:eastAsia="맑은 고딕"/>
                <w:sz w:val="18"/>
              </w:rPr>
              <w:t>EL/PL 분리는 기전 판별의 강한 축. 이미징 색채계에 여기광 차단 필터 조합으로 간이 구성도 가능</w:t>
            </w:r>
          </w:p>
        </w:tc>
      </w:tr>
      <w:tr>
        <w:tc>
          <w:tcPr>
            <w:tcW w:type="dxa" w:w="2721"/>
          </w:tcPr>
          <w:p>
            <w:r/>
            <w:r>
              <w:rPr>
                <w:rFonts w:ascii="맑은 고딕" w:hAnsi="맑은 고딕" w:eastAsia="맑은 고딕"/>
                <w:sz w:val="18"/>
              </w:rPr>
              <w:t>솔라 시뮬레이터(AM1.5G)</w:t>
            </w:r>
          </w:p>
        </w:tc>
        <w:tc>
          <w:tcPr>
            <w:tcW w:type="dxa" w:w="2494"/>
          </w:tcPr>
          <w:p>
            <w:r/>
            <w:r>
              <w:rPr>
                <w:rFonts w:ascii="맑은 고딕" w:hAnsi="맑은 고딕" w:eastAsia="맑은 고딕"/>
                <w:sz w:val="18"/>
              </w:rPr>
              <w:t>필드 태양광 등가 노출</w:t>
            </w:r>
          </w:p>
        </w:tc>
        <w:tc>
          <w:tcPr>
            <w:tcW w:type="dxa" w:w="4309"/>
          </w:tcPr>
          <w:p>
            <w:r/>
            <w:r>
              <w:rPr>
                <w:rFonts w:ascii="맑은 고딕" w:hAnsi="맑은 고딕" w:eastAsia="맑은 고딕"/>
                <w:sz w:val="18"/>
              </w:rPr>
              <w:t>실외 자연 리셋 가설 검증용. 우선순위는 3순위</w:t>
            </w:r>
          </w:p>
        </w:tc>
      </w:tr>
      <w:tr>
        <w:tc>
          <w:tcPr>
            <w:tcW w:type="dxa" w:w="2721"/>
          </w:tcPr>
          <w:p>
            <w:r/>
            <w:r>
              <w:rPr>
                <w:rFonts w:ascii="맑은 고딕" w:hAnsi="맑은 고딕" w:eastAsia="맑은 고딕"/>
                <w:sz w:val="18"/>
              </w:rPr>
              <w:t>에지 실런트 디스펜서 + UV 경화기</w:t>
            </w:r>
          </w:p>
        </w:tc>
        <w:tc>
          <w:tcPr>
            <w:tcW w:type="dxa" w:w="2494"/>
          </w:tcPr>
          <w:p>
            <w:r/>
            <w:r>
              <w:rPr>
                <w:rFonts w:ascii="맑은 고딕" w:hAnsi="맑은 고딕" w:eastAsia="맑은 고딕"/>
                <w:sz w:val="18"/>
              </w:rPr>
              <w:t>에지 실링 대조군 제작</w:t>
            </w:r>
          </w:p>
        </w:tc>
        <w:tc>
          <w:tcPr>
            <w:tcW w:type="dxa" w:w="4309"/>
          </w:tcPr>
          <w:p>
            <w:r/>
            <w:r>
              <w:rPr>
                <w:rFonts w:ascii="맑은 고딕" w:hAnsi="맑은 고딕" w:eastAsia="맑은 고딕"/>
                <w:sz w:val="18"/>
              </w:rPr>
              <w:t>Phase 1 의 핵심 대조군을 만드는 수단 — 외주 시공도 가능하나 리드타임 확인</w:t>
            </w:r>
          </w:p>
        </w:tc>
      </w:tr>
      <w:tr>
        <w:tc>
          <w:tcPr>
            <w:tcW w:type="dxa" w:w="2721"/>
          </w:tcPr>
          <w:p>
            <w:r/>
            <w:r>
              <w:rPr>
                <w:rFonts w:ascii="맑은 고딕" w:hAnsi="맑은 고딕" w:eastAsia="맑은 고딕"/>
                <w:sz w:val="18"/>
              </w:rPr>
              <w:t>고압 용기(2~3 atm)</w:t>
            </w:r>
          </w:p>
        </w:tc>
        <w:tc>
          <w:tcPr>
            <w:tcW w:type="dxa" w:w="2494"/>
          </w:tcPr>
          <w:p>
            <w:r/>
            <w:r>
              <w:rPr>
                <w:rFonts w:ascii="맑은 고딕" w:hAnsi="맑은 고딕" w:eastAsia="맑은 고딕"/>
                <w:sz w:val="18"/>
              </w:rPr>
              <w:t>산소 도스 범위 확장</w:t>
            </w:r>
          </w:p>
        </w:tc>
        <w:tc>
          <w:tcPr>
            <w:tcW w:type="dxa" w:w="4309"/>
          </w:tcPr>
          <w:p>
            <w:r/>
            <w:r>
              <w:rPr>
                <w:rFonts w:ascii="맑은 고딕" w:hAnsi="맑은 고딕" w:eastAsia="맑은 고딕"/>
                <w:sz w:val="18"/>
              </w:rPr>
              <w:t>안전 인증 필수. 기계 효과 혼입 우려로 1레그 한정 사용</w:t>
            </w:r>
          </w:p>
        </w:tc>
      </w:tr>
    </w:tbl>
    <w:p/>
    <w:p>
      <w:pPr>
        <w:pStyle w:val="Heading2"/>
      </w:pPr>
      <w:r>
        <w:t>7.3 외주·협조 — 보유 불요</w:t>
      </w:r>
    </w:p>
    <w:tbl>
      <w:tblPr>
        <w:tblStyle w:val="TableGrid"/>
        <w:tblW w:type="auto" w:w="0"/>
        <w:tblLook w:firstColumn="1" w:firstRow="1" w:lastColumn="0" w:lastRow="0" w:noHBand="0" w:noVBand="1" w:val="04A0"/>
      </w:tblPr>
      <w:tblGrid>
        <w:gridCol w:w="2880"/>
        <w:gridCol w:w="2880"/>
        <w:gridCol w:w="2880"/>
      </w:tblGrid>
      <w:tr>
        <w:tc>
          <w:tcPr>
            <w:tcW w:type="dxa" w:w="2494"/>
          </w:tcPr>
          <w:p>
            <w:r/>
            <w:r>
              <w:rPr>
                <w:rFonts w:ascii="맑은 고딕" w:hAnsi="맑은 고딕" w:eastAsia="맑은 고딕"/>
                <w:b/>
                <w:sz w:val="18"/>
              </w:rPr>
              <w:t>항목</w:t>
            </w:r>
          </w:p>
        </w:tc>
        <w:tc>
          <w:tcPr>
            <w:tcW w:type="dxa" w:w="2721"/>
          </w:tcPr>
          <w:p>
            <w:r/>
            <w:r>
              <w:rPr>
                <w:rFonts w:ascii="맑은 고딕" w:hAnsi="맑은 고딕" w:eastAsia="맑은 고딕"/>
                <w:b/>
                <w:sz w:val="18"/>
              </w:rPr>
              <w:t>목적</w:t>
            </w:r>
          </w:p>
        </w:tc>
        <w:tc>
          <w:tcPr>
            <w:tcW w:type="dxa" w:w="4309"/>
          </w:tcPr>
          <w:p>
            <w:r/>
            <w:r>
              <w:rPr>
                <w:rFonts w:ascii="맑은 고딕" w:hAnsi="맑은 고딕" w:eastAsia="맑은 고딕"/>
                <w:b/>
                <w:sz w:val="18"/>
              </w:rPr>
              <w:t>경로</w:t>
            </w:r>
          </w:p>
        </w:tc>
      </w:tr>
      <w:tr>
        <w:tc>
          <w:tcPr>
            <w:tcW w:type="dxa" w:w="2494"/>
          </w:tcPr>
          <w:p>
            <w:r/>
            <w:r>
              <w:rPr>
                <w:rFonts w:ascii="맑은 고딕" w:hAnsi="맑은 고딕" w:eastAsia="맑은 고딕"/>
                <w:sz w:val="18"/>
              </w:rPr>
              <w:t>공초점 라만 현미경</w:t>
            </w:r>
          </w:p>
        </w:tc>
        <w:tc>
          <w:tcPr>
            <w:tcW w:type="dxa" w:w="2721"/>
          </w:tcPr>
          <w:p>
            <w:r/>
            <w:r>
              <w:rPr>
                <w:rFonts w:ascii="맑은 고딕" w:hAnsi="맑은 고딕" w:eastAsia="맑은 고딕"/>
                <w:sz w:val="18"/>
              </w:rPr>
              <w:t>OCA 경화도(C=C 전환율) 에지→중앙 맵</w:t>
            </w:r>
          </w:p>
        </w:tc>
        <w:tc>
          <w:tcPr>
            <w:tcW w:type="dxa" w:w="4309"/>
          </w:tcPr>
          <w:p>
            <w:r/>
            <w:r>
              <w:rPr>
                <w:rFonts w:ascii="맑은 고딕" w:hAnsi="맑은 고딕" w:eastAsia="맑은 고딕"/>
                <w:sz w:val="18"/>
              </w:rPr>
              <w:t>분석 부서 또는 외부 분석기관. 윈도우 유리 통과 측정 가능성 사전 확인</w:t>
            </w:r>
          </w:p>
        </w:tc>
      </w:tr>
      <w:tr>
        <w:tc>
          <w:tcPr>
            <w:tcW w:type="dxa" w:w="2494"/>
          </w:tcPr>
          <w:p>
            <w:r/>
            <w:r>
              <w:rPr>
                <w:rFonts w:ascii="맑은 고딕" w:hAnsi="맑은 고딕" w:eastAsia="맑은 고딕"/>
                <w:sz w:val="18"/>
              </w:rPr>
              <w:t>TOF-SIMS</w:t>
            </w:r>
          </w:p>
        </w:tc>
        <w:tc>
          <w:tcPr>
            <w:tcW w:type="dxa" w:w="2721"/>
          </w:tcPr>
          <w:p>
            <w:r/>
            <w:r>
              <w:rPr>
                <w:rFonts w:ascii="맑은 고딕" w:hAnsi="맑은 고딕" w:eastAsia="맑은 고딕"/>
                <w:sz w:val="18"/>
              </w:rPr>
              <w:t>액자 vs 중앙의 음극/EIL 계면 화학종</w:t>
            </w:r>
          </w:p>
        </w:tc>
        <w:tc>
          <w:tcPr>
            <w:tcW w:type="dxa" w:w="4309"/>
          </w:tcPr>
          <w:p>
            <w:r/>
            <w:r>
              <w:rPr>
                <w:rFonts w:ascii="맑은 고딕" w:hAnsi="맑은 고딕" w:eastAsia="맑은 고딕"/>
                <w:sz w:val="18"/>
              </w:rPr>
              <w:t>파괴 분석, 대표 시편 소수. 외부 분석기관</w:t>
            </w:r>
          </w:p>
        </w:tc>
      </w:tr>
      <w:tr>
        <w:tc>
          <w:tcPr>
            <w:tcW w:type="dxa" w:w="2494"/>
          </w:tcPr>
          <w:p>
            <w:r/>
            <w:r>
              <w:rPr>
                <w:rFonts w:ascii="맑은 고딕" w:hAnsi="맑은 고딕" w:eastAsia="맑은 고딕"/>
                <w:sz w:val="18"/>
              </w:rPr>
              <w:t>TD-GC-MS</w:t>
            </w:r>
          </w:p>
        </w:tc>
        <w:tc>
          <w:tcPr>
            <w:tcW w:type="dxa" w:w="2721"/>
          </w:tcPr>
          <w:p>
            <w:r/>
            <w:r>
              <w:rPr>
                <w:rFonts w:ascii="맑은 고딕" w:hAnsi="맑은 고딕" w:eastAsia="맑은 고딕"/>
                <w:sz w:val="18"/>
              </w:rPr>
              <w:t>OCA·CF 아웃개싱 정성·정량</w:t>
            </w:r>
          </w:p>
        </w:tc>
        <w:tc>
          <w:tcPr>
            <w:tcW w:type="dxa" w:w="4309"/>
          </w:tcPr>
          <w:p>
            <w:r/>
            <w:r>
              <w:rPr>
                <w:rFonts w:ascii="맑은 고딕" w:hAnsi="맑은 고딕" w:eastAsia="맑은 고딕"/>
                <w:sz w:val="18"/>
              </w:rPr>
              <w:t>로트 상관 분석과 연계</w:t>
            </w:r>
          </w:p>
        </w:tc>
      </w:tr>
      <w:tr>
        <w:tc>
          <w:tcPr>
            <w:tcW w:type="dxa" w:w="2494"/>
          </w:tcPr>
          <w:p>
            <w:r/>
            <w:r>
              <w:rPr>
                <w:rFonts w:ascii="맑은 고딕" w:hAnsi="맑은 고딕" w:eastAsia="맑은 고딕"/>
                <w:sz w:val="18"/>
              </w:rPr>
              <w:t>photo-DSC(분위기 제어)</w:t>
            </w:r>
          </w:p>
        </w:tc>
        <w:tc>
          <w:tcPr>
            <w:tcW w:type="dxa" w:w="2721"/>
          </w:tcPr>
          <w:p>
            <w:r/>
            <w:r>
              <w:rPr>
                <w:rFonts w:ascii="맑은 고딕" w:hAnsi="맑은 고딕" w:eastAsia="맑은 고딕"/>
                <w:sz w:val="18"/>
              </w:rPr>
              <w:t>경화·산소 저해 반응상수 확보</w:t>
            </w:r>
          </w:p>
        </w:tc>
        <w:tc>
          <w:tcPr>
            <w:tcW w:type="dxa" w:w="4309"/>
          </w:tcPr>
          <w:p>
            <w:r/>
            <w:r>
              <w:rPr>
                <w:rFonts w:ascii="맑은 고딕" w:hAnsi="맑은 고딕" w:eastAsia="맑은 고딕"/>
                <w:sz w:val="18"/>
              </w:rPr>
              <w:t>OCA 필름 단품 필요 — 패널 업체 협조 항목(§11)</w:t>
            </w:r>
          </w:p>
        </w:tc>
      </w:tr>
      <w:tr>
        <w:tc>
          <w:tcPr>
            <w:tcW w:type="dxa" w:w="2494"/>
          </w:tcPr>
          <w:p>
            <w:r/>
            <w:r>
              <w:rPr>
                <w:rFonts w:ascii="맑은 고딕" w:hAnsi="맑은 고딕" w:eastAsia="맑은 고딕"/>
                <w:sz w:val="18"/>
              </w:rPr>
              <w:t>O₂ 투과율 측정(MOCON 류)</w:t>
            </w:r>
          </w:p>
        </w:tc>
        <w:tc>
          <w:tcPr>
            <w:tcW w:type="dxa" w:w="2721"/>
          </w:tcPr>
          <w:p>
            <w:r/>
            <w:r>
              <w:rPr>
                <w:rFonts w:ascii="맑은 고딕" w:hAnsi="맑은 고딕" w:eastAsia="맑은 고딕"/>
                <w:sz w:val="18"/>
              </w:rPr>
              <w:t>OCA 적층의 D·S 확보</w:t>
            </w:r>
          </w:p>
        </w:tc>
        <w:tc>
          <w:tcPr>
            <w:tcW w:type="dxa" w:w="4309"/>
          </w:tcPr>
          <w:p>
            <w:r/>
            <w:r>
              <w:rPr>
                <w:rFonts w:ascii="맑은 고딕" w:hAnsi="맑은 고딕" w:eastAsia="맑은 고딕"/>
                <w:sz w:val="18"/>
              </w:rPr>
              <w:t>시뮬레이션 파라미터 입력. 문헌치로 1차 대체 가능</w:t>
            </w:r>
          </w:p>
        </w:tc>
      </w:tr>
    </w:tbl>
    <w:p/>
    <w:p>
      <w:pPr>
        <w:pStyle w:val="Heading2"/>
      </w:pPr>
      <w:r>
        <w:t>7.4 소프트웨어·데이터 인프라</w:t>
      </w:r>
    </w:p>
    <w:p>
      <w:pPr>
        <w:pStyle w:val="ListBullet"/>
      </w:pPr>
      <w:r>
        <w:rPr>
          <w:rFonts w:ascii="맑은 고딕" w:hAnsi="맑은 고딕" w:eastAsia="맑은 고딕"/>
        </w:rPr>
        <w:t>이미지 분석 — 4변 프로파일 추출과 액자 폭 자동 산출(엣지 검출, 문턱 적용, 코너 곡률). Python/OpenCV 자체 개발로 충분하며, 판독자 주관을 제거해 게이지 R&amp;R 을 개선하는 효과가 크다.</w:t>
      </w:r>
    </w:p>
    <w:p>
      <w:pPr>
        <w:pStyle w:val="ListBullet"/>
      </w:pPr>
      <w:r>
        <w:rPr>
          <w:rFonts w:ascii="맑은 고딕" w:hAnsi="맑은 고딕" w:eastAsia="맑은 고딕"/>
        </w:rPr>
        <w:t>개체 이력 DB — 개체별 방치 조건·누적 UV 선량·부트 횟수·조명 노출·판독 이력. 오염된 개체를 사후에 식별해 배제하려면 이력이 개체 단위로 남아야 한다.</w:t>
      </w:r>
    </w:p>
    <w:p>
      <w:pPr>
        <w:pStyle w:val="ListBullet"/>
      </w:pPr>
      <w:r>
        <w:rPr>
          <w:rFonts w:ascii="맑은 고딕" w:hAnsi="맑은 고딕" w:eastAsia="맑은 고딕"/>
        </w:rPr>
        <w:t>반응-확산 솔버 — §9 참조.</w:t>
      </w:r>
    </w:p>
    <w:p>
      <w:pPr>
        <w:pStyle w:val="Heading2"/>
      </w:pPr>
      <w:r>
        <w:t>7.5 조달 우선순위</w:t>
      </w:r>
    </w:p>
    <w:tbl>
      <w:tblPr>
        <w:tblStyle w:val="TableGrid"/>
        <w:tblW w:type="auto" w:w="0"/>
        <w:tblLook w:firstColumn="1" w:firstRow="1" w:lastColumn="0" w:lastRow="0" w:noHBand="0" w:noVBand="1" w:val="04A0"/>
      </w:tblPr>
      <w:tblGrid>
        <w:gridCol w:w="2880"/>
        <w:gridCol w:w="2880"/>
        <w:gridCol w:w="2880"/>
      </w:tblGrid>
      <w:tr>
        <w:tc>
          <w:tcPr>
            <w:tcW w:type="dxa" w:w="907"/>
          </w:tcPr>
          <w:p>
            <w:r/>
            <w:r>
              <w:rPr>
                <w:rFonts w:ascii="맑은 고딕" w:hAnsi="맑은 고딕" w:eastAsia="맑은 고딕"/>
                <w:b/>
                <w:sz w:val="18"/>
              </w:rPr>
              <w:t>순위</w:t>
            </w:r>
          </w:p>
        </w:tc>
        <w:tc>
          <w:tcPr>
            <w:tcW w:type="dxa" w:w="5216"/>
          </w:tcPr>
          <w:p>
            <w:r/>
            <w:r>
              <w:rPr>
                <w:rFonts w:ascii="맑은 고딕" w:hAnsi="맑은 고딕" w:eastAsia="맑은 고딕"/>
                <w:b/>
                <w:sz w:val="18"/>
              </w:rPr>
              <w:t>항목</w:t>
            </w:r>
          </w:p>
        </w:tc>
        <w:tc>
          <w:tcPr>
            <w:tcW w:type="dxa" w:w="3402"/>
          </w:tcPr>
          <w:p>
            <w:r/>
            <w:r>
              <w:rPr>
                <w:rFonts w:ascii="맑은 고딕" w:hAnsi="맑은 고딕" w:eastAsia="맑은 고딕"/>
                <w:b/>
                <w:sz w:val="18"/>
              </w:rPr>
              <w:t>사유</w:t>
            </w:r>
          </w:p>
        </w:tc>
      </w:tr>
      <w:tr>
        <w:tc>
          <w:tcPr>
            <w:tcW w:type="dxa" w:w="907"/>
          </w:tcPr>
          <w:p>
            <w:r/>
            <w:r>
              <w:rPr>
                <w:rFonts w:ascii="맑은 고딕" w:hAnsi="맑은 고딕" w:eastAsia="맑은 고딕"/>
                <w:sz w:val="18"/>
              </w:rPr>
              <w:t>1순위</w:t>
            </w:r>
          </w:p>
        </w:tc>
        <w:tc>
          <w:tcPr>
            <w:tcW w:type="dxa" w:w="5216"/>
          </w:tcPr>
          <w:p>
            <w:r/>
            <w:r>
              <w:rPr>
                <w:rFonts w:ascii="맑은 고딕" w:hAnsi="맑은 고딕" w:eastAsia="맑은 고딕"/>
                <w:sz w:val="18"/>
              </w:rPr>
              <w:t>모듈 구동 지그, 2D 이미징 색채계, 균일광원, 암실 부스, 가스 혼합 챔버 + O₂ 농도계, UV 광원 + 방사조도계</w:t>
            </w:r>
          </w:p>
        </w:tc>
        <w:tc>
          <w:tcPr>
            <w:tcW w:type="dxa" w:w="3402"/>
          </w:tcPr>
          <w:p>
            <w:r/>
            <w:r>
              <w:rPr>
                <w:rFonts w:ascii="맑은 고딕" w:hAnsi="맑은 고딕" w:eastAsia="맑은 고딕"/>
                <w:sz w:val="18"/>
              </w:rPr>
              <w:t>이 중 하나라도 없으면 Phase 1 착수가 불가하거나 판독이 아티팩트에 오염된다</w:t>
            </w:r>
          </w:p>
        </w:tc>
      </w:tr>
      <w:tr>
        <w:tc>
          <w:tcPr>
            <w:tcW w:type="dxa" w:w="907"/>
          </w:tcPr>
          <w:p>
            <w:r/>
            <w:r>
              <w:rPr>
                <w:rFonts w:ascii="맑은 고딕" w:hAnsi="맑은 고딕" w:eastAsia="맑은 고딕"/>
                <w:sz w:val="18"/>
              </w:rPr>
              <w:t>2순위</w:t>
            </w:r>
          </w:p>
        </w:tc>
        <w:tc>
          <w:tcPr>
            <w:tcW w:type="dxa" w:w="5216"/>
          </w:tcPr>
          <w:p>
            <w:r/>
            <w:r>
              <w:rPr>
                <w:rFonts w:ascii="맑은 고딕" w:hAnsi="맑은 고딕" w:eastAsia="맑은 고딕"/>
                <w:sz w:val="18"/>
              </w:rPr>
              <w:t>분광복사계, 항온항습 챔버, 정밀 스테이지, 에지 실런트 시공 수단</w:t>
            </w:r>
          </w:p>
        </w:tc>
        <w:tc>
          <w:tcPr>
            <w:tcW w:type="dxa" w:w="3402"/>
          </w:tcPr>
          <w:p>
            <w:r/>
            <w:r>
              <w:rPr>
                <w:rFonts w:ascii="맑은 고딕" w:hAnsi="맑은 고딕" w:eastAsia="맑은 고딕"/>
                <w:sz w:val="18"/>
              </w:rPr>
              <w:t>Phase 2 속도론과 아티팩트 교차검증에 필요</w:t>
            </w:r>
          </w:p>
        </w:tc>
      </w:tr>
      <w:tr>
        <w:tc>
          <w:tcPr>
            <w:tcW w:type="dxa" w:w="907"/>
          </w:tcPr>
          <w:p>
            <w:r/>
            <w:r>
              <w:rPr>
                <w:rFonts w:ascii="맑은 고딕" w:hAnsi="맑은 고딕" w:eastAsia="맑은 고딕"/>
                <w:sz w:val="18"/>
              </w:rPr>
              <w:t>3순위</w:t>
            </w:r>
          </w:p>
        </w:tc>
        <w:tc>
          <w:tcPr>
            <w:tcW w:type="dxa" w:w="5216"/>
          </w:tcPr>
          <w:p>
            <w:r/>
            <w:r>
              <w:rPr>
                <w:rFonts w:ascii="맑은 고딕" w:hAnsi="맑은 고딕" w:eastAsia="맑은 고딕"/>
                <w:sz w:val="18"/>
              </w:rPr>
              <w:t>PL 이미징, 솔라 시뮬레이터, 고압 용기, UV-Vis 분광광도계</w:t>
            </w:r>
          </w:p>
        </w:tc>
        <w:tc>
          <w:tcPr>
            <w:tcW w:type="dxa" w:w="3402"/>
          </w:tcPr>
          <w:p>
            <w:r/>
            <w:r>
              <w:rPr>
                <w:rFonts w:ascii="맑은 고딕" w:hAnsi="맑은 고딕" w:eastAsia="맑은 고딕"/>
                <w:sz w:val="18"/>
              </w:rPr>
              <w:t>판별력 보강 — 외주·후속 확보로 대체 가능</w:t>
            </w:r>
          </w:p>
        </w:tc>
      </w:tr>
    </w:tbl>
    <w:p/>
    <w:p>
      <w:pPr>
        <w:pStyle w:val="Heading1"/>
      </w:pPr>
      <w:r>
        <w:t>8. 가속·해석 모델</w:t>
      </w:r>
    </w:p>
    <w:p>
      <w:pPr>
        <w:pStyle w:val="Heading2"/>
      </w:pPr>
      <w:r>
        <w:t>8.1 도스 축 — 헨리 법칙</w:t>
      </w:r>
    </w:p>
    <w:p>
      <w:pPr>
        <w:jc w:val="center"/>
      </w:pPr>
      <w:r>
        <w:rPr>
          <w:rFonts w:ascii="맑은 고딕" w:hAnsi="맑은 고딕" w:eastAsia="맑은 고딕"/>
          <w:i/>
          <w:sz w:val="21"/>
        </w:rPr>
        <w:t>c_s = S · pO₂   (표면 용존 농도, S: 용해도 계수)</w:t>
      </w:r>
    </w:p>
    <w:p>
      <w:r>
        <w:rPr>
          <w:rFonts w:ascii="맑은 고딕" w:hAnsi="맑은 고딕" w:eastAsia="맑은 고딕"/>
          <w:b w:val="0"/>
          <w:i w:val="0"/>
        </w:rPr>
        <w:t>분압 3수준의 진행 속도가 pO₂ 에 선형이면 용해-확산 지배가 검증된다. 비선형(포화)이면 반응 사이트 고갈 또는 저해 화학의 차수를 모델에 반영한다.</w:t>
      </w:r>
    </w:p>
    <w:p>
      <w:pPr>
        <w:pStyle w:val="Heading2"/>
      </w:pPr>
      <w:r>
        <w:t>8.2 온도 가속 — Arrhenius</w:t>
      </w:r>
    </w:p>
    <w:p>
      <w:pPr>
        <w:jc w:val="center"/>
      </w:pPr>
      <w:r>
        <w:rPr>
          <w:rFonts w:ascii="맑은 고딕" w:hAnsi="맑은 고딕" w:eastAsia="맑은 고딕"/>
          <w:i/>
          <w:sz w:val="21"/>
        </w:rPr>
        <w:t>k(T) = A · exp(−Ea / kB·T),   AF(T₁→T₂) = exp[ (Ea/kB) · (1/T₁ − 1/T₂) ]</w:t>
      </w:r>
    </w:p>
    <w:tbl>
      <w:tblPr>
        <w:tblStyle w:val="TableGrid"/>
        <w:tblW w:type="auto" w:w="0"/>
        <w:tblLook w:firstColumn="1" w:firstRow="1" w:lastColumn="0" w:lastRow="0" w:noHBand="0" w:noVBand="1" w:val="04A0"/>
      </w:tblPr>
      <w:tblGrid>
        <w:gridCol w:w="2880"/>
        <w:gridCol w:w="2880"/>
        <w:gridCol w:w="2880"/>
      </w:tblGrid>
      <w:tr>
        <w:tc>
          <w:tcPr>
            <w:tcW w:type="dxa" w:w="1928"/>
          </w:tcPr>
          <w:p>
            <w:r/>
            <w:r>
              <w:rPr>
                <w:rFonts w:ascii="맑은 고딕" w:hAnsi="맑은 고딕" w:eastAsia="맑은 고딕"/>
                <w:b/>
                <w:sz w:val="18"/>
              </w:rPr>
              <w:t>Ea 가정</w:t>
            </w:r>
          </w:p>
        </w:tc>
        <w:tc>
          <w:tcPr>
            <w:tcW w:type="dxa" w:w="2948"/>
          </w:tcPr>
          <w:p>
            <w:r/>
            <w:r>
              <w:rPr>
                <w:rFonts w:ascii="맑은 고딕" w:hAnsi="맑은 고딕" w:eastAsia="맑은 고딕"/>
                <w:b/>
                <w:sz w:val="18"/>
              </w:rPr>
              <w:t>25→45 ℃ 배율</w:t>
            </w:r>
          </w:p>
        </w:tc>
        <w:tc>
          <w:tcPr>
            <w:tcW w:type="dxa" w:w="2948"/>
          </w:tcPr>
          <w:p>
            <w:r/>
            <w:r>
              <w:rPr>
                <w:rFonts w:ascii="맑은 고딕" w:hAnsi="맑은 고딕" w:eastAsia="맑은 고딕"/>
                <w:b/>
                <w:sz w:val="18"/>
              </w:rPr>
              <w:t>25→60 ℃ 배율</w:t>
            </w:r>
          </w:p>
        </w:tc>
      </w:tr>
      <w:tr>
        <w:tc>
          <w:tcPr>
            <w:tcW w:type="dxa" w:w="1928"/>
          </w:tcPr>
          <w:p>
            <w:r/>
            <w:r>
              <w:rPr>
                <w:rFonts w:ascii="맑은 고딕" w:hAnsi="맑은 고딕" w:eastAsia="맑은 고딕"/>
                <w:sz w:val="18"/>
              </w:rPr>
              <w:t>0.3 eV</w:t>
            </w:r>
          </w:p>
        </w:tc>
        <w:tc>
          <w:tcPr>
            <w:tcW w:type="dxa" w:w="2948"/>
          </w:tcPr>
          <w:p>
            <w:r/>
            <w:r>
              <w:rPr>
                <w:rFonts w:ascii="맑은 고딕" w:hAnsi="맑은 고딕" w:eastAsia="맑은 고딕"/>
                <w:sz w:val="18"/>
              </w:rPr>
              <w:t>약 2.1×</w:t>
            </w:r>
          </w:p>
        </w:tc>
        <w:tc>
          <w:tcPr>
            <w:tcW w:type="dxa" w:w="2948"/>
          </w:tcPr>
          <w:p>
            <w:r/>
            <w:r>
              <w:rPr>
                <w:rFonts w:ascii="맑은 고딕" w:hAnsi="맑은 고딕" w:eastAsia="맑은 고딕"/>
                <w:sz w:val="18"/>
              </w:rPr>
              <w:t>약 3.6×</w:t>
            </w:r>
          </w:p>
        </w:tc>
      </w:tr>
      <w:tr>
        <w:tc>
          <w:tcPr>
            <w:tcW w:type="dxa" w:w="1928"/>
          </w:tcPr>
          <w:p>
            <w:r/>
            <w:r>
              <w:rPr>
                <w:rFonts w:ascii="맑은 고딕" w:hAnsi="맑은 고딕" w:eastAsia="맑은 고딕"/>
                <w:sz w:val="18"/>
              </w:rPr>
              <w:t>0.5 eV</w:t>
            </w:r>
          </w:p>
        </w:tc>
        <w:tc>
          <w:tcPr>
            <w:tcW w:type="dxa" w:w="2948"/>
          </w:tcPr>
          <w:p>
            <w:r/>
            <w:r>
              <w:rPr>
                <w:rFonts w:ascii="맑은 고딕" w:hAnsi="맑은 고딕" w:eastAsia="맑은 고딕"/>
                <w:sz w:val="18"/>
              </w:rPr>
              <w:t>약 3.4×</w:t>
            </w:r>
          </w:p>
        </w:tc>
        <w:tc>
          <w:tcPr>
            <w:tcW w:type="dxa" w:w="2948"/>
          </w:tcPr>
          <w:p>
            <w:r/>
            <w:r>
              <w:rPr>
                <w:rFonts w:ascii="맑은 고딕" w:hAnsi="맑은 고딕" w:eastAsia="맑은 고딕"/>
                <w:sz w:val="18"/>
              </w:rPr>
              <w:t>약 8.4×</w:t>
            </w:r>
          </w:p>
        </w:tc>
      </w:tr>
      <w:tr>
        <w:tc>
          <w:tcPr>
            <w:tcW w:type="dxa" w:w="1928"/>
          </w:tcPr>
          <w:p>
            <w:r/>
            <w:r>
              <w:rPr>
                <w:rFonts w:ascii="맑은 고딕" w:hAnsi="맑은 고딕" w:eastAsia="맑은 고딕"/>
                <w:sz w:val="18"/>
              </w:rPr>
              <w:t>0.7 eV</w:t>
            </w:r>
          </w:p>
        </w:tc>
        <w:tc>
          <w:tcPr>
            <w:tcW w:type="dxa" w:w="2948"/>
          </w:tcPr>
          <w:p>
            <w:r/>
            <w:r>
              <w:rPr>
                <w:rFonts w:ascii="맑은 고딕" w:hAnsi="맑은 고딕" w:eastAsia="맑은 고딕"/>
                <w:sz w:val="18"/>
              </w:rPr>
              <w:t>약 5.6×</w:t>
            </w:r>
          </w:p>
        </w:tc>
        <w:tc>
          <w:tcPr>
            <w:tcW w:type="dxa" w:w="2948"/>
          </w:tcPr>
          <w:p>
            <w:r/>
            <w:r>
              <w:rPr>
                <w:rFonts w:ascii="맑은 고딕" w:hAnsi="맑은 고딕" w:eastAsia="맑은 고딕"/>
                <w:sz w:val="18"/>
              </w:rPr>
              <w:t>약 19×</w:t>
            </w:r>
          </w:p>
        </w:tc>
      </w:tr>
    </w:tbl>
    <w:p/>
    <w:p>
      <w:r>
        <w:rPr>
          <w:rFonts w:ascii="맑은 고딕" w:hAnsi="맑은 고딕" w:eastAsia="맑은 고딕"/>
          <w:b w:val="0"/>
          <w:i w:val="0"/>
        </w:rPr>
        <w:t>주: 확산(폴리머 내 O₂·소분자) Ea 는 통상 0.3~0.6 eV(경험칙). Phase 2 의 3온도 실측 기울기로 확정하고, 가정치 기반 외삽은 그 전까지 계획 수치로만 취급한다. 참고로 온도 상승은 용해도 S 를 다소 낮추므로 (발열 용해), 실효 가속배율은 D 의 증가와 S 의 감소가 상쇄된 값으로 나타난다 — 모델에서 분리한다.</w:t>
      </w:r>
    </w:p>
    <w:p>
      <w:pPr>
        <w:pStyle w:val="Heading2"/>
      </w:pPr>
      <w:r>
        <w:t>8.3 액자 폭의 시간 법칙</w:t>
      </w:r>
    </w:p>
    <w:p>
      <w:pPr>
        <w:jc w:val="center"/>
      </w:pPr>
      <w:r>
        <w:rPr>
          <w:rFonts w:ascii="맑은 고딕" w:hAnsi="맑은 고딕" w:eastAsia="맑은 고딕"/>
          <w:i/>
          <w:sz w:val="21"/>
        </w:rPr>
        <w:t>확산 지배: w(t) ≈ β·√(D_eff · t)     /     반응-소모 결합: 정상 전선 속도 일정 또는 포화 폭 수렴</w:t>
      </w:r>
    </w:p>
    <w:p>
      <w:r>
        <w:rPr>
          <w:rFonts w:ascii="맑은 고딕" w:hAnsi="맑은 고딕" w:eastAsia="맑은 고딕"/>
          <w:b w:val="0"/>
          <w:i w:val="0"/>
        </w:rPr>
        <w:t>판정 기준(안): 로그-로그 기울기 0.5 ± 0.1 이면 √t 확산형, 0.9 이상이면 정상 전선형, 후기 기울기 → 0 이면 포화형. 판독 반복성의 2배를 유의 변화 문턱으로 한다(게이지 R&amp;R 결과로 확정).</w:t>
      </w:r>
    </w:p>
    <w:p>
      <w:pPr>
        <w:pStyle w:val="Heading1"/>
      </w:pPr>
      <w:r>
        <w:t>9. 시뮬레이션 솔루션 구축 제안</w:t>
      </w:r>
    </w:p>
    <w:p>
      <w:pPr>
        <w:pStyle w:val="Heading2"/>
      </w:pPr>
      <w:r>
        <w:t>9.1 지배방정식 — 산소 확산 + Stern-Volmer 소광</w:t>
      </w:r>
    </w:p>
    <w:p>
      <w:r>
        <w:rPr>
          <w:rFonts w:ascii="맑은 고딕" w:hAnsi="맑은 고딕" w:eastAsia="맑은 고딕"/>
          <w:b w:val="0"/>
          <w:i w:val="0"/>
        </w:rPr>
        <w:t>주가설 H1c 를 채택하면 모델이 크게 단순해진다. 소광 주체가 산소 자체이므로 별도의 켄칭종 생성·확산 방정식이 필요 없고, 상태변수는 용존 산소 c 와 잔류 산소 소거능 s(잔류 광개시제 유효 농도)의 2개로 충분하다.</w:t>
      </w:r>
    </w:p>
    <w:p>
      <w:pPr>
        <w:jc w:val="center"/>
      </w:pPr>
      <w:r>
        <w:rPr>
          <w:rFonts w:ascii="맑은 고딕" w:hAnsi="맑은 고딕" w:eastAsia="맑은 고딕"/>
          <w:i/>
          <w:sz w:val="21"/>
        </w:rPr>
        <w:t>∂c/∂t = ∇·(D_eff ∇c) − k_scav · c · s · I_UV(x, t)</w:t>
      </w:r>
    </w:p>
    <w:p>
      <w:pPr>
        <w:jc w:val="center"/>
      </w:pPr>
      <w:r>
        <w:rPr>
          <w:rFonts w:ascii="맑은 고딕" w:hAnsi="맑은 고딕" w:eastAsia="맑은 고딕"/>
          <w:i/>
          <w:sz w:val="21"/>
        </w:rPr>
        <w:t>∂s/∂t = − k_s · s · I_UV(x, t)            (리셋 사이클마다 소거능 소모)</w:t>
      </w:r>
    </w:p>
    <w:p>
      <w:pPr>
        <w:jc w:val="center"/>
      </w:pPr>
      <w:r>
        <w:rPr>
          <w:rFonts w:ascii="맑은 고딕" w:hAnsi="맑은 고딕" w:eastAsia="맑은 고딕"/>
          <w:i/>
          <w:sz w:val="21"/>
        </w:rPr>
        <w:t>발광 유지율  I / I₀ = 1 / (1 + K_SV · c),   K_SV = k_q · τ₀   (색별로 다름)</w:t>
      </w:r>
    </w:p>
    <w:p>
      <w:pPr>
        <w:jc w:val="center"/>
      </w:pPr>
      <w:r>
        <w:rPr>
          <w:rFonts w:ascii="맑은 고딕" w:hAnsi="맑은 고딕" w:eastAsia="맑은 고딕"/>
          <w:i/>
          <w:sz w:val="21"/>
        </w:rPr>
        <w:t>색 j 의 액자 경계 = { x : c(x, t) &gt; c_th,j },   c_th,j = (1/K_SV,j) · (1/r_th − 1)</w:t>
      </w:r>
    </w:p>
    <w:p>
      <w:r>
        <w:rPr>
          <w:rFonts w:ascii="맑은 고딕" w:hAnsi="맑은 고딕" w:eastAsia="맑은 고딕"/>
          <w:b w:val="0"/>
          <w:i w:val="0"/>
        </w:rPr>
        <w:t>D_eff 는 에지 미경화 존(높은 투과)과 완경화 벌크(낮은 투과)를 반영한 유효 확산계수이며, 미경화 링 폭은 공초점 라만 실측 프로파일을 초기조건으로 넣는다(§5.5). UV 조사항 I_UV 는 Beer-Lambert 로 윈도우·OCA·CF 투과를 반영한다(§5.5 투과 스펙트럼 실측 입력). 리셋은 I_UV 펄스가 c 를 국소적으로 소거하는 것으로 표현되고, s 의 감소가 유효 리셋 사이클 수의 상한을 준다. r_th 는 액자 경계 판정에 쓰는 발광 유지율 문턱으로 §6.4 의 판독 정의와 동일한 값을 쓴다.</w:t>
      </w:r>
    </w:p>
    <w:p>
      <w:r>
        <w:rPr>
          <w:rFonts w:ascii="맑은 고딕" w:hAnsi="맑은 고딕" w:eastAsia="맑은 고딕"/>
          <w:b w:val="0"/>
          <w:i w:val="0"/>
        </w:rPr>
        <w:t>비가역 전이는 누적항 하나로 덧붙인다. 소광 과정에서 생성된 일중항 산소의 누적 도스에 비례해 영구 손실 n 이 쌓이며, 이것이 리셋 회복률 하락으로 관측된다.</w:t>
      </w:r>
    </w:p>
    <w:p>
      <w:pPr>
        <w:jc w:val="center"/>
      </w:pPr>
      <w:r>
        <w:rPr>
          <w:rFonts w:ascii="맑은 고딕" w:hAnsi="맑은 고딕" w:eastAsia="맑은 고딕"/>
          <w:i/>
          <w:sz w:val="21"/>
        </w:rPr>
        <w:t>∂n/∂t = k_ox · c · ρ_exc(x, t),   리셋 후 잔존 억제 = f(n)</w:t>
      </w:r>
    </w:p>
    <w:p>
      <w:r>
        <w:rPr>
          <w:rFonts w:ascii="맑은 고딕" w:hAnsi="맑은 고딕" w:eastAsia="맑은 고딕"/>
          <w:b w:val="0"/>
          <w:i w:val="0"/>
        </w:rPr>
        <w:t>H1c 가 기각되고 H2(이온·트랩)로 판명되면 c 를 트랩 점유율로 재해석하고 소스·소멸항만 교체하면 되므로 골격은 그대로 재사용된다.</w:t>
      </w:r>
    </w:p>
    <w:p>
      <w:pPr>
        <w:pStyle w:val="Heading2"/>
      </w:pPr>
      <w:r>
        <w:t>9.2 기하·경계조건</w:t>
      </w:r>
    </w:p>
    <w:p>
      <w:pPr>
        <w:pStyle w:val="ListBullet"/>
      </w:pPr>
      <w:r>
        <w:rPr>
          <w:rFonts w:ascii="맑은 고딕" w:hAnsi="맑은 고딕" w:eastAsia="맑은 고딕"/>
        </w:rPr>
        <w:t>기하: 평면 2D(패널 면내) + 두께 방향 집중화(lumped). 액자 문제는 본질적으로 라테랄이므로 두께 방향은 유효 저항으로 축약한다. 필요 시 에지 단면만 국부 2D 상세화.</w:t>
      </w:r>
    </w:p>
    <w:p>
      <w:pPr>
        <w:pStyle w:val="ListBullet"/>
      </w:pPr>
      <w:r>
        <w:rPr>
          <w:rFonts w:ascii="맑은 고딕" w:hAnsi="맑은 고딕" w:eastAsia="맑은 고딕"/>
        </w:rPr>
        <w:t>경계조건: 에지 — 헨리 c = S·pO₂ (방치 분위기), 에지 실링군은 무플럭스로 전환. 상면 윈도우 유리 — 무플럭스. 하면 TFE — 저투과 유효 플럭스.</w:t>
      </w:r>
    </w:p>
    <w:p>
      <w:pPr>
        <w:pStyle w:val="ListBullet"/>
      </w:pPr>
      <w:r>
        <w:rPr>
          <w:rFonts w:ascii="맑은 고딕" w:hAnsi="맑은 고딕" w:eastAsia="맑은 고딕"/>
        </w:rPr>
        <w:t>초기조건: 에지 미경화 링(폭·전환율 프로파일은 공초점 라만 실측 §5.5 입력) + 중앙 완경화.</w:t>
      </w:r>
    </w:p>
    <w:p>
      <w:pPr>
        <w:pStyle w:val="Heading2"/>
      </w:pPr>
      <w:r>
        <w:t>9.3 파라미터 확보 매트릭스</w:t>
      </w:r>
    </w:p>
    <w:tbl>
      <w:tblPr>
        <w:tblStyle w:val="TableGrid"/>
        <w:tblW w:type="auto" w:w="0"/>
        <w:tblLook w:firstColumn="1" w:firstRow="1" w:lastColumn="0" w:lastRow="0" w:noHBand="0" w:noVBand="1" w:val="04A0"/>
      </w:tblPr>
      <w:tblGrid>
        <w:gridCol w:w="2880"/>
        <w:gridCol w:w="2880"/>
        <w:gridCol w:w="2880"/>
      </w:tblGrid>
      <w:tr>
        <w:tc>
          <w:tcPr>
            <w:tcW w:type="dxa" w:w="2608"/>
          </w:tcPr>
          <w:p>
            <w:r/>
            <w:r>
              <w:rPr>
                <w:rFonts w:ascii="맑은 고딕" w:hAnsi="맑은 고딕" w:eastAsia="맑은 고딕"/>
                <w:b/>
                <w:sz w:val="18"/>
              </w:rPr>
              <w:t>파라미터</w:t>
            </w:r>
          </w:p>
        </w:tc>
        <w:tc>
          <w:tcPr>
            <w:tcW w:type="dxa" w:w="4876"/>
          </w:tcPr>
          <w:p>
            <w:r/>
            <w:r>
              <w:rPr>
                <w:rFonts w:ascii="맑은 고딕" w:hAnsi="맑은 고딕" w:eastAsia="맑은 고딕"/>
                <w:b/>
                <w:sz w:val="18"/>
              </w:rPr>
              <w:t>확보 수단</w:t>
            </w:r>
          </w:p>
        </w:tc>
        <w:tc>
          <w:tcPr>
            <w:tcW w:type="dxa" w:w="2041"/>
          </w:tcPr>
          <w:p>
            <w:r/>
            <w:r>
              <w:rPr>
                <w:rFonts w:ascii="맑은 고딕" w:hAnsi="맑은 고딕" w:eastAsia="맑은 고딕"/>
                <w:b/>
                <w:sz w:val="18"/>
              </w:rPr>
              <w:t>본 시험 의존</w:t>
            </w:r>
          </w:p>
        </w:tc>
      </w:tr>
      <w:tr>
        <w:tc>
          <w:tcPr>
            <w:tcW w:type="dxa" w:w="2608"/>
          </w:tcPr>
          <w:p>
            <w:r/>
            <w:r>
              <w:rPr>
                <w:rFonts w:ascii="맑은 고딕" w:hAnsi="맑은 고딕" w:eastAsia="맑은 고딕"/>
                <w:sz w:val="18"/>
              </w:rPr>
              <w:t>D_O₂, 용해도 S (OCA·CF 적층)</w:t>
            </w:r>
          </w:p>
        </w:tc>
        <w:tc>
          <w:tcPr>
            <w:tcW w:type="dxa" w:w="4876"/>
          </w:tcPr>
          <w:p>
            <w:r/>
            <w:r>
              <w:rPr>
                <w:rFonts w:ascii="맑은 고딕" w:hAnsi="맑은 고딕" w:eastAsia="맑은 고딕"/>
                <w:sz w:val="18"/>
              </w:rPr>
              <w:t>문헌치 + 투과율 측정(MOCON 류) — 자재 단품은 업체 협조 또는 수입 검사 시편</w:t>
            </w:r>
          </w:p>
        </w:tc>
        <w:tc>
          <w:tcPr>
            <w:tcW w:type="dxa" w:w="2041"/>
          </w:tcPr>
          <w:p>
            <w:r/>
            <w:r>
              <w:rPr>
                <w:rFonts w:ascii="맑은 고딕" w:hAnsi="맑은 고딕" w:eastAsia="맑은 고딕"/>
                <w:sz w:val="18"/>
              </w:rPr>
              <w:t>낮음</w:t>
            </w:r>
          </w:p>
        </w:tc>
      </w:tr>
      <w:tr>
        <w:tc>
          <w:tcPr>
            <w:tcW w:type="dxa" w:w="2608"/>
          </w:tcPr>
          <w:p>
            <w:r/>
            <w:r>
              <w:rPr>
                <w:rFonts w:ascii="맑은 고딕" w:hAnsi="맑은 고딕" w:eastAsia="맑은 고딕"/>
                <w:sz w:val="18"/>
              </w:rPr>
              <w:t>K_SV,j = k_q·τ₀,j (색별 소광 상수)</w:t>
            </w:r>
          </w:p>
        </w:tc>
        <w:tc>
          <w:tcPr>
            <w:tcW w:type="dxa" w:w="4876"/>
          </w:tcPr>
          <w:p>
            <w:r/>
            <w:r>
              <w:rPr>
                <w:rFonts w:ascii="맑은 고딕" w:hAnsi="맑은 고딕" w:eastAsia="맑은 고딕"/>
                <w:sz w:val="18"/>
              </w:rPr>
              <w:t>발광체별 무산소 여기 수명 τ₀ 의 시간분해 발광 측정 또는 재료 문헌치. k_q 는 확산 제한 소광 상수로 근사</w:t>
            </w:r>
          </w:p>
        </w:tc>
        <w:tc>
          <w:tcPr>
            <w:tcW w:type="dxa" w:w="2041"/>
          </w:tcPr>
          <w:p>
            <w:r/>
            <w:r>
              <w:rPr>
                <w:rFonts w:ascii="맑은 고딕" w:hAnsi="맑은 고딕" w:eastAsia="맑은 고딕"/>
                <w:sz w:val="18"/>
              </w:rPr>
              <w:t>낮음 — 독립 확보</w:t>
            </w:r>
          </w:p>
        </w:tc>
      </w:tr>
      <w:tr>
        <w:tc>
          <w:tcPr>
            <w:tcW w:type="dxa" w:w="2608"/>
          </w:tcPr>
          <w:p>
            <w:r/>
            <w:r>
              <w:rPr>
                <w:rFonts w:ascii="맑은 고딕" w:hAnsi="맑은 고딕" w:eastAsia="맑은 고딕"/>
                <w:sz w:val="18"/>
              </w:rPr>
              <w:t>UV 실효 선량, 소거 상수 k_scav</w:t>
            </w:r>
          </w:p>
        </w:tc>
        <w:tc>
          <w:tcPr>
            <w:tcW w:type="dxa" w:w="4876"/>
          </w:tcPr>
          <w:p>
            <w:r/>
            <w:r>
              <w:rPr>
                <w:rFonts w:ascii="맑은 고딕" w:hAnsi="맑은 고딕" w:eastAsia="맑은 고딕"/>
                <w:sz w:val="18"/>
              </w:rPr>
              <w:t>액션 스펙트럼 + 투과 스펙트럼 실측 (§5.5), 리셋 소요 선량</w:t>
            </w:r>
          </w:p>
        </w:tc>
        <w:tc>
          <w:tcPr>
            <w:tcW w:type="dxa" w:w="2041"/>
          </w:tcPr>
          <w:p>
            <w:r/>
            <w:r>
              <w:rPr>
                <w:rFonts w:ascii="맑은 고딕" w:hAnsi="맑은 고딕" w:eastAsia="맑은 고딕"/>
                <w:sz w:val="18"/>
              </w:rPr>
              <w:t>본 시험</w:t>
            </w:r>
          </w:p>
        </w:tc>
      </w:tr>
      <w:tr>
        <w:tc>
          <w:tcPr>
            <w:tcW w:type="dxa" w:w="2608"/>
          </w:tcPr>
          <w:p>
            <w:r/>
            <w:r>
              <w:rPr>
                <w:rFonts w:ascii="맑은 고딕" w:hAnsi="맑은 고딕" w:eastAsia="맑은 고딕"/>
                <w:sz w:val="18"/>
              </w:rPr>
              <w:t>D_eff (미경화 링 포함 유효 확산)</w:t>
            </w:r>
          </w:p>
        </w:tc>
        <w:tc>
          <w:tcPr>
            <w:tcW w:type="dxa" w:w="4876"/>
          </w:tcPr>
          <w:p>
            <w:r/>
            <w:r>
              <w:rPr>
                <w:rFonts w:ascii="맑은 고딕" w:hAnsi="맑은 고딕" w:eastAsia="맑은 고딕"/>
                <w:sz w:val="18"/>
              </w:rPr>
              <w:t>Phase 2 의 w(t) 피팅 + 리셋-재발 t_rec 의 이중 구속</w:t>
            </w:r>
          </w:p>
        </w:tc>
        <w:tc>
          <w:tcPr>
            <w:tcW w:type="dxa" w:w="2041"/>
          </w:tcPr>
          <w:p>
            <w:r/>
            <w:r>
              <w:rPr>
                <w:rFonts w:ascii="맑은 고딕" w:hAnsi="맑은 고딕" w:eastAsia="맑은 고딕"/>
                <w:sz w:val="18"/>
              </w:rPr>
              <w:t>본 시험 (핵심)</w:t>
            </w:r>
          </w:p>
        </w:tc>
      </w:tr>
      <w:tr>
        <w:tc>
          <w:tcPr>
            <w:tcW w:type="dxa" w:w="2608"/>
          </w:tcPr>
          <w:p>
            <w:r/>
            <w:r>
              <w:rPr>
                <w:rFonts w:ascii="맑은 고딕" w:hAnsi="맑은 고딕" w:eastAsia="맑은 고딕"/>
                <w:sz w:val="18"/>
              </w:rPr>
              <w:t>미경화 링 폭·전환율 프로파일</w:t>
            </w:r>
          </w:p>
        </w:tc>
        <w:tc>
          <w:tcPr>
            <w:tcW w:type="dxa" w:w="4876"/>
          </w:tcPr>
          <w:p>
            <w:r/>
            <w:r>
              <w:rPr>
                <w:rFonts w:ascii="맑은 고딕" w:hAnsi="맑은 고딕" w:eastAsia="맑은 고딕"/>
                <w:sz w:val="18"/>
              </w:rPr>
              <w:t>공초점 라만 경화도 맵 (§5.5) — 초기조건으로 직접 입력</w:t>
            </w:r>
          </w:p>
        </w:tc>
        <w:tc>
          <w:tcPr>
            <w:tcW w:type="dxa" w:w="2041"/>
          </w:tcPr>
          <w:p>
            <w:r/>
            <w:r>
              <w:rPr>
                <w:rFonts w:ascii="맑은 고딕" w:hAnsi="맑은 고딕" w:eastAsia="맑은 고딕"/>
                <w:sz w:val="18"/>
              </w:rPr>
              <w:t>본 시험</w:t>
            </w:r>
          </w:p>
        </w:tc>
      </w:tr>
      <w:tr>
        <w:tc>
          <w:tcPr>
            <w:tcW w:type="dxa" w:w="2608"/>
          </w:tcPr>
          <w:p>
            <w:r/>
            <w:r>
              <w:rPr>
                <w:rFonts w:ascii="맑은 고딕" w:hAnsi="맑은 고딕" w:eastAsia="맑은 고딕"/>
                <w:sz w:val="18"/>
              </w:rPr>
              <w:t>k_ox (비가역 전이 계수)</w:t>
            </w:r>
          </w:p>
        </w:tc>
        <w:tc>
          <w:tcPr>
            <w:tcW w:type="dxa" w:w="4876"/>
          </w:tcPr>
          <w:p>
            <w:r/>
            <w:r>
              <w:rPr>
                <w:rFonts w:ascii="맑은 고딕" w:hAnsi="맑은 고딕" w:eastAsia="맑은 고딕"/>
                <w:sz w:val="18"/>
              </w:rPr>
              <w:t>리셋 사이클별 회복률 하락 곡선 (§5.2 나 레그)</w:t>
            </w:r>
          </w:p>
        </w:tc>
        <w:tc>
          <w:tcPr>
            <w:tcW w:type="dxa" w:w="2041"/>
          </w:tcPr>
          <w:p>
            <w:r/>
            <w:r>
              <w:rPr>
                <w:rFonts w:ascii="맑은 고딕" w:hAnsi="맑은 고딕" w:eastAsia="맑은 고딕"/>
                <w:sz w:val="18"/>
              </w:rPr>
              <w:t>본 시험</w:t>
            </w:r>
          </w:p>
        </w:tc>
      </w:tr>
      <w:tr>
        <w:tc>
          <w:tcPr>
            <w:tcW w:type="dxa" w:w="2608"/>
          </w:tcPr>
          <w:p>
            <w:r/>
            <w:r>
              <w:rPr>
                <w:rFonts w:ascii="맑은 고딕" w:hAnsi="맑은 고딕" w:eastAsia="맑은 고딕"/>
                <w:sz w:val="18"/>
              </w:rPr>
              <w:t>Ea (D_eff·용해도)</w:t>
            </w:r>
          </w:p>
        </w:tc>
        <w:tc>
          <w:tcPr>
            <w:tcW w:type="dxa" w:w="4876"/>
          </w:tcPr>
          <w:p>
            <w:r/>
            <w:r>
              <w:rPr>
                <w:rFonts w:ascii="맑은 고딕" w:hAnsi="맑은 고딕" w:eastAsia="맑은 고딕"/>
                <w:sz w:val="18"/>
              </w:rPr>
              <w:t>Phase 2 온도 사다리</w:t>
            </w:r>
          </w:p>
        </w:tc>
        <w:tc>
          <w:tcPr>
            <w:tcW w:type="dxa" w:w="2041"/>
          </w:tcPr>
          <w:p>
            <w:r/>
            <w:r>
              <w:rPr>
                <w:rFonts w:ascii="맑은 고딕" w:hAnsi="맑은 고딕" w:eastAsia="맑은 고딕"/>
                <w:sz w:val="18"/>
              </w:rPr>
              <w:t>본 시험</w:t>
            </w:r>
          </w:p>
        </w:tc>
      </w:tr>
    </w:tbl>
    <w:p/>
    <w:p>
      <w:pPr>
        <w:pStyle w:val="Heading2"/>
      </w:pPr>
      <w:r>
        <w:t>9.4 식별성 전략 — H1c 채택이 주는 이점</w:t>
      </w:r>
    </w:p>
    <w:p>
      <w:r>
        <w:rPr>
          <w:rFonts w:ascii="맑은 고딕" w:hAnsi="맑은 고딕" w:eastAsia="맑은 고딕"/>
          <w:b w:val="0"/>
          <w:i w:val="0"/>
        </w:rPr>
        <w:t>종전 3변수 모델에서는 켄칭종 확산계수와 억제 문턱이 곱으로 붙어 w(t) 단독 피팅으로 분리되지 않았다. H1c 를 채택하면 이 퇴화가 세 경로로 동시에 풀린다.</w:t>
      </w:r>
    </w:p>
    <w:p>
      <w:pPr>
        <w:pStyle w:val="ListNumber"/>
      </w:pPr>
      <w:r>
        <w:rPr>
          <w:rFonts w:ascii="맑은 고딕" w:hAnsi="맑은 고딕" w:eastAsia="맑은 고딕"/>
        </w:rPr>
        <w:t>색별 폭 비율이 확산과 무관한 검증식을 준다. 같은 패널의 R·G·B 액자는 동일한 산소 농도장 c(x, t) 를 공유하므로 세 폭의 비는 오직 K_SV,j 의 비(= τ₀ 의 비)로 결정되며 D_eff 와 무관하다. 색별 폭을 동시에 재는 것만으로 피팅 없이 모델의 내적 정합을 검증할 수 있고, 같은 측정이 주가설의 핵심 예측을 시험한다.</w:t>
      </w:r>
    </w:p>
    <w:p>
      <w:pPr>
        <w:pStyle w:val="ListNumber"/>
      </w:pPr>
      <w:r>
        <w:rPr>
          <w:rFonts w:ascii="맑은 고딕" w:hAnsi="맑은 고딕" w:eastAsia="맑은 고딕"/>
        </w:rPr>
        <w:t>리셋-재발 시간 t_rec 이 D_eff 를 독립적으로 구속한다. 재발은 초기 c ≈ 0 상태에서 에지 경계조건으로 재충전되는 순수 확산 문제이므로 t_rec ~ L²/D_eff 이며, 방치 진행 w(t) 피팅과 별개의 구속식이 된다.</w:t>
      </w:r>
    </w:p>
    <w:p>
      <w:pPr>
        <w:pStyle w:val="ListNumber"/>
      </w:pPr>
      <w:r>
        <w:rPr>
          <w:rFonts w:ascii="맑은 고딕" w:hAnsi="맑은 고딕" w:eastAsia="맑은 고딕"/>
        </w:rPr>
        <w:t>소광 상수 K_SV 를 시험 밖에서 확보할 수 있다. τ₀ 는 시간분해 발광 측정이나 재료 문헌치로 얻어지므로 피팅 자유 파라미터에서 빠진다.</w:t>
      </w:r>
    </w:p>
    <w:p>
      <w:r>
        <w:rPr>
          <w:rFonts w:ascii="맑은 고딕" w:hAnsi="맑은 고딕" w:eastAsia="맑은 고딕"/>
          <w:b w:val="0"/>
          <w:i w:val="0"/>
        </w:rPr>
        <w:t>결과적으로 자유 파라미터가 사실상 D_eff 와 k_ox 두 개로 줄고 나머지는 독립 측정이나 문헌치로 고정되므로, 모델의 예측력과 검증 가능성이 크게 높아진다. 피팅은 전역 최소자승을 기본으로 하되, 파라미터 불확도 정량화가 필요하면 베이지안(MCMC) 으로 확장한다.</w:t>
      </w:r>
    </w:p>
    <w:p>
      <w:pPr>
        <w:pStyle w:val="Heading2"/>
      </w:pPr>
      <w:r>
        <w:t>9.5 무차원 해석 — 본격 피팅 전 선행</w:t>
      </w:r>
    </w:p>
    <w:p>
      <w:pPr>
        <w:jc w:val="center"/>
      </w:pPr>
      <w:r>
        <w:rPr>
          <w:rFonts w:ascii="맑은 고딕" w:hAnsi="맑은 고딕" w:eastAsia="맑은 고딕"/>
          <w:i/>
          <w:sz w:val="21"/>
        </w:rPr>
        <w:t>Da = k·L² / D   (Damköhler 수 — 반응/확산 시간 스케일 비)</w:t>
      </w:r>
    </w:p>
    <w:p>
      <w:r>
        <w:rPr>
          <w:rFonts w:ascii="맑은 고딕" w:hAnsi="맑은 고딕" w:eastAsia="맑은 고딕"/>
          <w:b w:val="0"/>
          <w:i w:val="0"/>
        </w:rPr>
        <w:t>관측된 액자 경계가 날카롭다는 사실은 Da 가 큰(반응 지배 전선) 영역임을 시사한다. 캘리브레이션 전에 무차원화로 지배 항을 확인하면 피팅 파라미터 수를 줄일 수 있고, 전선 폭(경계의 뭉개짐 정도) 자체가 Da 의 추정치를 준다 — 이미징 색채계 맵에서 무비용으로 추출 가능하다.</w:t>
      </w:r>
    </w:p>
    <w:p>
      <w:pPr>
        <w:pStyle w:val="Heading2"/>
      </w:pPr>
      <w:r>
        <w:t>9.6 구현 로드맵</w:t>
      </w:r>
    </w:p>
    <w:tbl>
      <w:tblPr>
        <w:tblStyle w:val="TableGrid"/>
        <w:tblW w:type="auto" w:w="0"/>
        <w:tblLook w:firstColumn="1" w:firstRow="1" w:lastColumn="0" w:lastRow="0" w:noHBand="0" w:noVBand="1" w:val="04A0"/>
      </w:tblPr>
      <w:tblGrid>
        <w:gridCol w:w="2160"/>
        <w:gridCol w:w="2160"/>
        <w:gridCol w:w="2160"/>
        <w:gridCol w:w="2160"/>
      </w:tblGrid>
      <w:tr>
        <w:tc>
          <w:tcPr>
            <w:tcW w:type="dxa" w:w="1474"/>
          </w:tcPr>
          <w:p>
            <w:r/>
            <w:r>
              <w:rPr>
                <w:rFonts w:ascii="맑은 고딕" w:hAnsi="맑은 고딕" w:eastAsia="맑은 고딕"/>
                <w:b/>
                <w:sz w:val="18"/>
              </w:rPr>
              <w:t>단계</w:t>
            </w:r>
          </w:p>
        </w:tc>
        <w:tc>
          <w:tcPr>
            <w:tcW w:type="dxa" w:w="4649"/>
          </w:tcPr>
          <w:p>
            <w:r/>
            <w:r>
              <w:rPr>
                <w:rFonts w:ascii="맑은 고딕" w:hAnsi="맑은 고딕" w:eastAsia="맑은 고딕"/>
                <w:b/>
                <w:sz w:val="18"/>
              </w:rPr>
              <w:t>내용</w:t>
            </w:r>
          </w:p>
        </w:tc>
        <w:tc>
          <w:tcPr>
            <w:tcW w:type="dxa" w:w="2041"/>
          </w:tcPr>
          <w:p>
            <w:r/>
            <w:r>
              <w:rPr>
                <w:rFonts w:ascii="맑은 고딕" w:hAnsi="맑은 고딕" w:eastAsia="맑은 고딕"/>
                <w:b/>
                <w:sz w:val="18"/>
              </w:rPr>
              <w:t>도구</w:t>
            </w:r>
          </w:p>
        </w:tc>
        <w:tc>
          <w:tcPr>
            <w:tcW w:type="dxa" w:w="1361"/>
          </w:tcPr>
          <w:p>
            <w:r/>
            <w:r>
              <w:rPr>
                <w:rFonts w:ascii="맑은 고딕" w:hAnsi="맑은 고딕" w:eastAsia="맑은 고딕"/>
                <w:b/>
                <w:sz w:val="18"/>
              </w:rPr>
              <w:t>기간</w:t>
            </w:r>
          </w:p>
        </w:tc>
      </w:tr>
      <w:tr>
        <w:tc>
          <w:tcPr>
            <w:tcW w:type="dxa" w:w="1474"/>
          </w:tcPr>
          <w:p>
            <w:r/>
            <w:r>
              <w:rPr>
                <w:rFonts w:ascii="맑은 고딕" w:hAnsi="맑은 고딕" w:eastAsia="맑은 고딕"/>
                <w:sz w:val="18"/>
              </w:rPr>
              <w:t>1. 프로토타입</w:t>
            </w:r>
          </w:p>
        </w:tc>
        <w:tc>
          <w:tcPr>
            <w:tcW w:type="dxa" w:w="4649"/>
          </w:tcPr>
          <w:p>
            <w:r/>
            <w:r>
              <w:rPr>
                <w:rFonts w:ascii="맑은 고딕" w:hAnsi="맑은 고딕" w:eastAsia="맑은 고딕"/>
                <w:sz w:val="18"/>
              </w:rPr>
              <w:t>문헌 파라미터로 2D RD 솔버 구축, w(t) 곡선 패밀리(√t/포화/외광 요동) 생성 — Phase 2 시간 사다리·판독 시점의 역설계에 사용</w:t>
            </w:r>
          </w:p>
        </w:tc>
        <w:tc>
          <w:tcPr>
            <w:tcW w:type="dxa" w:w="2041"/>
          </w:tcPr>
          <w:p>
            <w:r/>
            <w:r>
              <w:rPr>
                <w:rFonts w:ascii="맑은 고딕" w:hAnsi="맑은 고딕" w:eastAsia="맑은 고딕"/>
                <w:sz w:val="18"/>
              </w:rPr>
              <w:t>Python (FiPy 또는 scipy 커스텀 FDM)</w:t>
            </w:r>
          </w:p>
        </w:tc>
        <w:tc>
          <w:tcPr>
            <w:tcW w:type="dxa" w:w="1361"/>
          </w:tcPr>
          <w:p>
            <w:r/>
            <w:r>
              <w:rPr>
                <w:rFonts w:ascii="맑은 고딕" w:hAnsi="맑은 고딕" w:eastAsia="맑은 고딕"/>
                <w:sz w:val="18"/>
              </w:rPr>
              <w:t>약 1주</w:t>
            </w:r>
          </w:p>
        </w:tc>
      </w:tr>
      <w:tr>
        <w:tc>
          <w:tcPr>
            <w:tcW w:type="dxa" w:w="1474"/>
          </w:tcPr>
          <w:p>
            <w:r/>
            <w:r>
              <w:rPr>
                <w:rFonts w:ascii="맑은 고딕" w:hAnsi="맑은 고딕" w:eastAsia="맑은 고딕"/>
                <w:sz w:val="18"/>
              </w:rPr>
              <w:t>2. 캘리브레이션</w:t>
            </w:r>
          </w:p>
        </w:tc>
        <w:tc>
          <w:tcPr>
            <w:tcW w:type="dxa" w:w="4649"/>
          </w:tcPr>
          <w:p>
            <w:r/>
            <w:r>
              <w:rPr>
                <w:rFonts w:ascii="맑은 고딕" w:hAnsi="맑은 고딕" w:eastAsia="맑은 고딕"/>
                <w:sz w:val="18"/>
              </w:rPr>
              <w:t>Phase 2 데이터와 리셋-재발 t_rec 동시 피팅 (D_eff, k_ox, Ea), 색별 폭 비율로 내적 정합 검증, 게이지 R&amp;R 반영 불확도 산출</w:t>
            </w:r>
          </w:p>
        </w:tc>
        <w:tc>
          <w:tcPr>
            <w:tcW w:type="dxa" w:w="2041"/>
          </w:tcPr>
          <w:p>
            <w:r/>
            <w:r>
              <w:rPr>
                <w:rFonts w:ascii="맑은 고딕" w:hAnsi="맑은 고딕" w:eastAsia="맑은 고딕"/>
                <w:sz w:val="18"/>
              </w:rPr>
              <w:t>동일 + lmfit/emcee</w:t>
            </w:r>
          </w:p>
        </w:tc>
        <w:tc>
          <w:tcPr>
            <w:tcW w:type="dxa" w:w="1361"/>
          </w:tcPr>
          <w:p>
            <w:r/>
            <w:r>
              <w:rPr>
                <w:rFonts w:ascii="맑은 고딕" w:hAnsi="맑은 고딕" w:eastAsia="맑은 고딕"/>
                <w:sz w:val="18"/>
              </w:rPr>
              <w:t>Phase 2 종료 후 1~2주</w:t>
            </w:r>
          </w:p>
        </w:tc>
      </w:tr>
      <w:tr>
        <w:tc>
          <w:tcPr>
            <w:tcW w:type="dxa" w:w="1474"/>
          </w:tcPr>
          <w:p>
            <w:r/>
            <w:r>
              <w:rPr>
                <w:rFonts w:ascii="맑은 고딕" w:hAnsi="맑은 고딕" w:eastAsia="맑은 고딕"/>
                <w:sz w:val="18"/>
              </w:rPr>
              <w:t>3. 제어 인자 평가</w:t>
            </w:r>
          </w:p>
        </w:tc>
        <w:tc>
          <w:tcPr>
            <w:tcW w:type="dxa" w:w="4649"/>
          </w:tcPr>
          <w:p>
            <w:r/>
            <w:r>
              <w:rPr>
                <w:rFonts w:ascii="맑은 고딕" w:hAnsi="맑은 고딕" w:eastAsia="맑은 고딕"/>
                <w:sz w:val="18"/>
              </w:rPr>
              <w:t>에지 실링(BC), UV 후경화·흡수제(소스·조사항), 온도 디레이팅(Arrhenius) 파라미터 스터디 → '수명 내 액자 폭 목표치' 설계창 역산</w:t>
            </w:r>
          </w:p>
        </w:tc>
        <w:tc>
          <w:tcPr>
            <w:tcW w:type="dxa" w:w="2041"/>
          </w:tcPr>
          <w:p>
            <w:r/>
            <w:r>
              <w:rPr>
                <w:rFonts w:ascii="맑은 고딕" w:hAnsi="맑은 고딕" w:eastAsia="맑은 고딕"/>
                <w:sz w:val="18"/>
              </w:rPr>
              <w:t>동일</w:t>
            </w:r>
          </w:p>
        </w:tc>
        <w:tc>
          <w:tcPr>
            <w:tcW w:type="dxa" w:w="1361"/>
          </w:tcPr>
          <w:p>
            <w:r/>
            <w:r>
              <w:rPr>
                <w:rFonts w:ascii="맑은 고딕" w:hAnsi="맑은 고딕" w:eastAsia="맑은 고딕"/>
                <w:sz w:val="18"/>
              </w:rPr>
              <w:t>약 1주</w:t>
            </w:r>
          </w:p>
        </w:tc>
      </w:tr>
      <w:tr>
        <w:tc>
          <w:tcPr>
            <w:tcW w:type="dxa" w:w="1474"/>
          </w:tcPr>
          <w:p>
            <w:r/>
            <w:r>
              <w:rPr>
                <w:rFonts w:ascii="맑은 고딕" w:hAnsi="맑은 고딕" w:eastAsia="맑은 고딕"/>
                <w:sz w:val="18"/>
              </w:rPr>
              <w:t>4. 정식화(선택)</w:t>
            </w:r>
          </w:p>
        </w:tc>
        <w:tc>
          <w:tcPr>
            <w:tcW w:type="dxa" w:w="4649"/>
          </w:tcPr>
          <w:p>
            <w:r/>
            <w:r>
              <w:rPr>
                <w:rFonts w:ascii="맑은 고딕" w:hAnsi="맑은 고딕" w:eastAsia="맑은 고딕"/>
                <w:sz w:val="18"/>
              </w:rPr>
              <w:t>COMSOL 이관 또는 사내 솔버 통합, 타 과제(신모델 스택) 전개용 템플릿화</w:t>
            </w:r>
          </w:p>
        </w:tc>
        <w:tc>
          <w:tcPr>
            <w:tcW w:type="dxa" w:w="2041"/>
          </w:tcPr>
          <w:p>
            <w:r/>
            <w:r>
              <w:rPr>
                <w:rFonts w:ascii="맑은 고딕" w:hAnsi="맑은 고딕" w:eastAsia="맑은 고딕"/>
                <w:sz w:val="18"/>
              </w:rPr>
              <w:t>COMSOL / 사내 CAE</w:t>
            </w:r>
          </w:p>
        </w:tc>
        <w:tc>
          <w:tcPr>
            <w:tcW w:type="dxa" w:w="1361"/>
          </w:tcPr>
          <w:p>
            <w:r/>
            <w:r>
              <w:rPr>
                <w:rFonts w:ascii="맑은 고딕" w:hAnsi="맑은 고딕" w:eastAsia="맑은 고딕"/>
                <w:sz w:val="18"/>
              </w:rPr>
              <w:t>별도 협의</w:t>
            </w:r>
          </w:p>
        </w:tc>
      </w:tr>
    </w:tbl>
    <w:p/>
    <w:p>
      <w:r>
        <w:rPr>
          <w:rFonts w:ascii="맑은 고딕" w:hAnsi="맑은 고딕" w:eastAsia="맑은 고딕"/>
          <w:b w:val="0"/>
          <w:i w:val="0"/>
        </w:rPr>
        <w:t>주: 계산 규모는 평면 2D 확산 문제로 워크스테이션 1대에서 수 분/케이스 수준이며, 별도 HPC 자원이 필요하지 않다. 1단계 프로토타입은 시험 착수 전에 완료하여 시험이 모델을 위해 설계되도록 한다.</w:t>
      </w:r>
    </w:p>
    <w:p>
      <w:pPr>
        <w:pStyle w:val="Heading1"/>
      </w:pPr>
      <w:r>
        <w:t>10. 일정 요약</w:t>
      </w:r>
    </w:p>
    <w:tbl>
      <w:tblPr>
        <w:tblStyle w:val="TableGrid"/>
        <w:tblW w:type="auto" w:w="0"/>
        <w:tblLook w:firstColumn="1" w:firstRow="1" w:lastColumn="0" w:lastRow="0" w:noHBand="0" w:noVBand="1" w:val="04A0"/>
      </w:tblPr>
      <w:tblGrid>
        <w:gridCol w:w="2880"/>
        <w:gridCol w:w="2880"/>
        <w:gridCol w:w="2880"/>
      </w:tblGrid>
      <w:tr>
        <w:tc>
          <w:tcPr>
            <w:tcW w:type="dxa" w:w="1020"/>
          </w:tcPr>
          <w:p>
            <w:r/>
            <w:r>
              <w:rPr>
                <w:rFonts w:ascii="맑은 고딕" w:hAnsi="맑은 고딕" w:eastAsia="맑은 고딕"/>
                <w:b/>
                <w:sz w:val="18"/>
              </w:rPr>
              <w:t>주차</w:t>
            </w:r>
          </w:p>
        </w:tc>
        <w:tc>
          <w:tcPr>
            <w:tcW w:type="dxa" w:w="5102"/>
          </w:tcPr>
          <w:p>
            <w:r/>
            <w:r>
              <w:rPr>
                <w:rFonts w:ascii="맑은 고딕" w:hAnsi="맑은 고딕" w:eastAsia="맑은 고딕"/>
                <w:b/>
                <w:sz w:val="18"/>
              </w:rPr>
              <w:t>시험</w:t>
            </w:r>
          </w:p>
        </w:tc>
        <w:tc>
          <w:tcPr>
            <w:tcW w:type="dxa" w:w="3402"/>
          </w:tcPr>
          <w:p>
            <w:r/>
            <w:r>
              <w:rPr>
                <w:rFonts w:ascii="맑은 고딕" w:hAnsi="맑은 고딕" w:eastAsia="맑은 고딕"/>
                <w:b/>
                <w:sz w:val="18"/>
              </w:rPr>
              <w:t>시뮬레이션</w:t>
            </w:r>
          </w:p>
        </w:tc>
      </w:tr>
      <w:tr>
        <w:tc>
          <w:tcPr>
            <w:tcW w:type="dxa" w:w="1020"/>
          </w:tcPr>
          <w:p>
            <w:r/>
            <w:r>
              <w:rPr>
                <w:rFonts w:ascii="맑은 고딕" w:hAnsi="맑은 고딕" w:eastAsia="맑은 고딕"/>
                <w:sz w:val="18"/>
              </w:rPr>
              <w:t>W1</w:t>
            </w:r>
          </w:p>
        </w:tc>
        <w:tc>
          <w:tcPr>
            <w:tcW w:type="dxa" w:w="5102"/>
          </w:tcPr>
          <w:p>
            <w:r/>
            <w:r>
              <w:rPr>
                <w:rFonts w:ascii="맑은 고딕" w:hAnsi="맑은 고딕" w:eastAsia="맑은 고딕"/>
                <w:sz w:val="18"/>
              </w:rPr>
              <w:t>패턴 표시 앱·adb 잠금 스크립트 준비, 촬영계 플랫필드·워킹디스턴스 셋업, 게이지 R&amp;R, SOP 확정, 샘플 입고·차광 보관, 에지 실링·UV 후경화 처리</w:t>
            </w:r>
          </w:p>
        </w:tc>
        <w:tc>
          <w:tcPr>
            <w:tcW w:type="dxa" w:w="3402"/>
          </w:tcPr>
          <w:p>
            <w:r/>
            <w:r>
              <w:rPr>
                <w:rFonts w:ascii="맑은 고딕" w:hAnsi="맑은 고딕" w:eastAsia="맑은 고딕"/>
                <w:sz w:val="18"/>
              </w:rPr>
              <w:t>프로토타입 솔버 구축</w:t>
            </w:r>
          </w:p>
        </w:tc>
      </w:tr>
      <w:tr>
        <w:tc>
          <w:tcPr>
            <w:tcW w:type="dxa" w:w="1020"/>
          </w:tcPr>
          <w:p>
            <w:r/>
            <w:r>
              <w:rPr>
                <w:rFonts w:ascii="맑은 고딕" w:hAnsi="맑은 고딕" w:eastAsia="맑은 고딕"/>
                <w:sz w:val="18"/>
              </w:rPr>
              <w:t>W2~3</w:t>
            </w:r>
          </w:p>
        </w:tc>
        <w:tc>
          <w:tcPr>
            <w:tcW w:type="dxa" w:w="5102"/>
          </w:tcPr>
          <w:p>
            <w:r/>
            <w:r>
              <w:rPr>
                <w:rFonts w:ascii="맑은 고딕" w:hAnsi="맑은 고딕" w:eastAsia="맑은 고딕"/>
                <w:sz w:val="18"/>
              </w:rPr>
              <w:t>Phase 1 스크리닝 방치·판독</w:t>
            </w:r>
          </w:p>
        </w:tc>
        <w:tc>
          <w:tcPr>
            <w:tcW w:type="dxa" w:w="3402"/>
          </w:tcPr>
          <w:p>
            <w:r/>
            <w:r>
              <w:rPr>
                <w:rFonts w:ascii="맑은 고딕" w:hAnsi="맑은 고딕" w:eastAsia="맑은 고딕"/>
                <w:sz w:val="18"/>
              </w:rPr>
              <w:t>곡선 패밀리로 Phase 2 시간 사다리 역설계</w:t>
            </w:r>
          </w:p>
        </w:tc>
      </w:tr>
      <w:tr>
        <w:tc>
          <w:tcPr>
            <w:tcW w:type="dxa" w:w="1020"/>
          </w:tcPr>
          <w:p>
            <w:r/>
            <w:r>
              <w:rPr>
                <w:rFonts w:ascii="맑은 고딕" w:hAnsi="맑은 고딕" w:eastAsia="맑은 고딕"/>
                <w:sz w:val="18"/>
              </w:rPr>
              <w:t>W3~4</w:t>
            </w:r>
          </w:p>
        </w:tc>
        <w:tc>
          <w:tcPr>
            <w:tcW w:type="dxa" w:w="5102"/>
          </w:tcPr>
          <w:p>
            <w:r/>
            <w:r>
              <w:rPr>
                <w:rFonts w:ascii="맑은 고딕" w:hAnsi="맑은 고딕" w:eastAsia="맑은 고딕"/>
                <w:sz w:val="18"/>
              </w:rPr>
              <w:t>Phase 1 판정 → Phase 2 조건 확정, 보조 시험(액션 스펙트럼·투과 실측) 착수</w:t>
            </w:r>
          </w:p>
        </w:tc>
        <w:tc>
          <w:tcPr>
            <w:tcW w:type="dxa" w:w="3402"/>
          </w:tcPr>
          <w:p>
            <w:r/>
            <w:r>
              <w:rPr>
                <w:rFonts w:ascii="맑은 고딕" w:hAnsi="맑은 고딕" w:eastAsia="맑은 고딕"/>
                <w:sz w:val="18"/>
              </w:rPr>
              <w:t>판정 매트릭스 반영 모델 골격 확정</w:t>
            </w:r>
          </w:p>
        </w:tc>
      </w:tr>
      <w:tr>
        <w:tc>
          <w:tcPr>
            <w:tcW w:type="dxa" w:w="1020"/>
          </w:tcPr>
          <w:p>
            <w:r/>
            <w:r>
              <w:rPr>
                <w:rFonts w:ascii="맑은 고딕" w:hAnsi="맑은 고딕" w:eastAsia="맑은 고딕"/>
                <w:sz w:val="18"/>
              </w:rPr>
              <w:t>W4~10</w:t>
            </w:r>
          </w:p>
        </w:tc>
        <w:tc>
          <w:tcPr>
            <w:tcW w:type="dxa" w:w="5102"/>
          </w:tcPr>
          <w:p>
            <w:r/>
            <w:r>
              <w:rPr>
                <w:rFonts w:ascii="맑은 고딕" w:hAnsi="맑은 고딕" w:eastAsia="맑은 고딕"/>
                <w:sz w:val="18"/>
              </w:rPr>
              <w:t>Phase 2 속도론 방치·시점별 판독</w:t>
            </w:r>
          </w:p>
        </w:tc>
        <w:tc>
          <w:tcPr>
            <w:tcW w:type="dxa" w:w="3402"/>
          </w:tcPr>
          <w:p>
            <w:r/>
            <w:r>
              <w:rPr>
                <w:rFonts w:ascii="맑은 고딕" w:hAnsi="맑은 고딕" w:eastAsia="맑은 고딕"/>
                <w:sz w:val="18"/>
              </w:rPr>
              <w:t>중간 데이터 순차 피팅</w:t>
            </w:r>
          </w:p>
        </w:tc>
      </w:tr>
      <w:tr>
        <w:tc>
          <w:tcPr>
            <w:tcW w:type="dxa" w:w="1020"/>
          </w:tcPr>
          <w:p>
            <w:r/>
            <w:r>
              <w:rPr>
                <w:rFonts w:ascii="맑은 고딕" w:hAnsi="맑은 고딕" w:eastAsia="맑은 고딕"/>
                <w:sz w:val="18"/>
              </w:rPr>
              <w:t>W10~12</w:t>
            </w:r>
          </w:p>
        </w:tc>
        <w:tc>
          <w:tcPr>
            <w:tcW w:type="dxa" w:w="5102"/>
          </w:tcPr>
          <w:p>
            <w:r/>
            <w:r>
              <w:rPr>
                <w:rFonts w:ascii="맑은 고딕" w:hAnsi="맑은 고딕" w:eastAsia="맑은 고딕"/>
                <w:sz w:val="18"/>
              </w:rPr>
              <w:t>Phase 3 검증 조건 방치·판독</w:t>
            </w:r>
          </w:p>
        </w:tc>
        <w:tc>
          <w:tcPr>
            <w:tcW w:type="dxa" w:w="3402"/>
          </w:tcPr>
          <w:p>
            <w:r/>
            <w:r>
              <w:rPr>
                <w:rFonts w:ascii="맑은 고딕" w:hAnsi="맑은 고딕" w:eastAsia="맑은 고딕"/>
                <w:sz w:val="18"/>
              </w:rPr>
              <w:t>캘리브레이션 완료, 선예측 제출</w:t>
            </w:r>
          </w:p>
        </w:tc>
      </w:tr>
      <w:tr>
        <w:tc>
          <w:tcPr>
            <w:tcW w:type="dxa" w:w="1020"/>
          </w:tcPr>
          <w:p>
            <w:r/>
            <w:r>
              <w:rPr>
                <w:rFonts w:ascii="맑은 고딕" w:hAnsi="맑은 고딕" w:eastAsia="맑은 고딕"/>
                <w:sz w:val="18"/>
              </w:rPr>
              <w:t>W12~13</w:t>
            </w:r>
          </w:p>
        </w:tc>
        <w:tc>
          <w:tcPr>
            <w:tcW w:type="dxa" w:w="5102"/>
          </w:tcPr>
          <w:p>
            <w:r/>
            <w:r>
              <w:rPr>
                <w:rFonts w:ascii="맑은 고딕" w:hAnsi="맑은 고딕" w:eastAsia="맑은 고딕"/>
                <w:sz w:val="18"/>
              </w:rPr>
              <w:t>판정·보고</w:t>
            </w:r>
          </w:p>
        </w:tc>
        <w:tc>
          <w:tcPr>
            <w:tcW w:type="dxa" w:w="3402"/>
          </w:tcPr>
          <w:p>
            <w:r/>
            <w:r>
              <w:rPr>
                <w:rFonts w:ascii="맑은 고딕" w:hAnsi="맑은 고딕" w:eastAsia="맑은 고딕"/>
                <w:sz w:val="18"/>
              </w:rPr>
              <w:t>제어 인자 평가·설계창 역산 보고</w:t>
            </w:r>
          </w:p>
        </w:tc>
      </w:tr>
    </w:tbl>
    <w:p/>
    <w:p>
      <w:pPr>
        <w:pStyle w:val="Heading1"/>
      </w:pPr>
      <w:r>
        <w:t>11. 리스크·한계와 업체 요청 데이터</w:t>
      </w:r>
    </w:p>
    <w:p>
      <w:pPr>
        <w:pStyle w:val="ListBullet"/>
      </w:pPr>
      <w:r>
        <w:rPr>
          <w:rFonts w:ascii="맑은 고딕" w:hAnsi="맑은 고딕" w:eastAsia="맑은 고딕"/>
        </w:rPr>
        <w:t>라미 전 단계 통제 불가 — 경화 분위기·선량의 직접 인과 시험이 빠진다. UV 후경화군(§5.2)과 로트 상관(§5.5)이 대체하지만 인과 강도는 한 단계 낮다. 업체에 다음 데이터를 요청한다: OCA 품명·광개시제 계열과 흡수 스펙트럼, 경화 공정 조건(분위기·선량·오토클레이브), 로트별 경화도 관리 데이터, OCA 필름 단품 시편(photo-DSC 용), 에지 비드·컷팅 조건.</w:t>
      </w:r>
    </w:p>
    <w:p>
      <w:pPr>
        <w:pStyle w:val="ListBullet"/>
      </w:pPr>
      <w:r>
        <w:rPr>
          <w:rFonts w:ascii="맑은 고딕" w:hAnsi="맑은 고딕" w:eastAsia="맑은 고딕"/>
        </w:rPr>
        <w:t>판독 반복성 vs 액자 폭 변화율 — 진행이 느리면 4주 창에서 유의 변화가 반복성에 묻힐 수 있다. 게이지 R&amp;R 선행과 고분압·고온 가속 레그가 방어선이며, 미검출 시 '없음 확정'이 아니라 '연장 관찰'로 처리한다.</w:t>
      </w:r>
    </w:p>
    <w:p>
      <w:pPr>
        <w:pStyle w:val="ListBullet"/>
      </w:pPr>
      <w:r>
        <w:rPr>
          <w:rFonts w:ascii="맑은 고딕" w:hAnsi="맑은 고딕" w:eastAsia="맑은 고딕"/>
        </w:rPr>
        <w:t>반복 판독의 관측자 효과 — 판독 시 조명·부트가 상태를 교란할 수 있다(§5.6 소군 검증으로 채택 여부 결정).</w:t>
      </w:r>
    </w:p>
    <w:p>
      <w:pPr>
        <w:pStyle w:val="ListBullet"/>
      </w:pPr>
      <w:r>
        <w:rPr>
          <w:rFonts w:ascii="맑은 고딕" w:hAnsi="맑은 고딕" w:eastAsia="맑은 고딕"/>
        </w:rPr>
        <w:t>습도 레그의 기전 혼입 — 비가역 수분 손상이 겹치면 액자 폭 판독이 오염된다. UV 리셋 분류기를 전 레그에 적용해 가역/비가역을 개체 단위로 분리한다.</w:t>
      </w:r>
    </w:p>
    <w:p>
      <w:pPr>
        <w:pStyle w:val="ListBullet"/>
      </w:pPr>
      <w:r>
        <w:rPr>
          <w:rFonts w:ascii="맑은 고딕" w:hAnsi="맑은 고딕" w:eastAsia="맑은 고딕"/>
        </w:rPr>
        <w:t>가역 구간의 시한 — 소광 과정에서 생성되는 일중항 산소가 발광 재료를 화학적으로 공격하므로, 방치가 길어질수록 UV 리셋으로 회복되지 않는 비가역 성분이 누적된다. 필드 개체의 회수 가능 비율이 시간과 함께 떨어진다는 뜻이며, 조치 시급성의 근거다. 리셋 사이클별 회복률 추적(§5.2 나)이 이 시한을 정량화한다.</w:t>
      </w:r>
    </w:p>
    <w:p>
      <w:pPr>
        <w:pStyle w:val="ListBullet"/>
      </w:pPr>
      <w:r>
        <w:rPr>
          <w:rFonts w:ascii="맑은 고딕" w:hAnsi="맑은 고딕" w:eastAsia="맑은 고딕"/>
        </w:rPr>
        <w:t>H1c 기각 시나리오 — Phase 1 에서 N₂ 보관 재발·실링 무관·후경화 무관이 동시에 나오면 산소 가설군 전체가 기각된다. 이 경우 §9 모델은 c 를 트랩 점유율로 재해석(H2)하여 골격을 재사용하고, 시험 축을 바이어스·온도 중심으로 재설계한다 — 매몰 비용은 챔버 레그에 한정된다.</w:t>
      </w:r>
    </w:p>
    <w:p>
      <w:pPr>
        <w:pStyle w:val="Heading1"/>
      </w:pPr>
      <w:r>
        <w:t>부록 A. 기호·용어</w:t>
      </w:r>
    </w:p>
    <w:tbl>
      <w:tblPr>
        <w:tblStyle w:val="TableGrid"/>
        <w:tblW w:type="auto" w:w="0"/>
        <w:tblLook w:firstColumn="1" w:firstRow="1" w:lastColumn="0" w:lastRow="0" w:noHBand="0" w:noVBand="1" w:val="04A0"/>
      </w:tblPr>
      <w:tblGrid>
        <w:gridCol w:w="4320"/>
        <w:gridCol w:w="4320"/>
      </w:tblGrid>
      <w:tr>
        <w:tc>
          <w:tcPr>
            <w:tcW w:type="dxa" w:w="1928"/>
          </w:tcPr>
          <w:p>
            <w:r/>
            <w:r>
              <w:rPr>
                <w:rFonts w:ascii="맑은 고딕" w:hAnsi="맑은 고딕" w:eastAsia="맑은 고딕"/>
                <w:b/>
                <w:sz w:val="18"/>
              </w:rPr>
              <w:t>기호/용어</w:t>
            </w:r>
          </w:p>
        </w:tc>
        <w:tc>
          <w:tcPr>
            <w:tcW w:type="dxa" w:w="7597"/>
          </w:tcPr>
          <w:p>
            <w:r/>
            <w:r>
              <w:rPr>
                <w:rFonts w:ascii="맑은 고딕" w:hAnsi="맑은 고딕" w:eastAsia="맑은 고딕"/>
                <w:b/>
                <w:sz w:val="18"/>
              </w:rPr>
              <w:t>정의</w:t>
            </w:r>
          </w:p>
        </w:tc>
      </w:tr>
      <w:tr>
        <w:tc>
          <w:tcPr>
            <w:tcW w:type="dxa" w:w="1928"/>
          </w:tcPr>
          <w:p>
            <w:r/>
            <w:r>
              <w:rPr>
                <w:rFonts w:ascii="맑은 고딕" w:hAnsi="맑은 고딕" w:eastAsia="맑은 고딕"/>
                <w:sz w:val="18"/>
              </w:rPr>
              <w:t>COE</w:t>
            </w:r>
          </w:p>
        </w:tc>
        <w:tc>
          <w:tcPr>
            <w:tcW w:type="dxa" w:w="7597"/>
          </w:tcPr>
          <w:p>
            <w:r/>
            <w:r>
              <w:rPr>
                <w:rFonts w:ascii="맑은 고딕" w:hAnsi="맑은 고딕" w:eastAsia="맑은 고딕"/>
                <w:sz w:val="18"/>
              </w:rPr>
              <w:t>Color Filter on Encapsulation — 편광판 제거, 봉지 위 CF/BM 반사 제어 구조</w:t>
            </w:r>
          </w:p>
        </w:tc>
      </w:tr>
      <w:tr>
        <w:tc>
          <w:tcPr>
            <w:tcW w:type="dxa" w:w="1928"/>
          </w:tcPr>
          <w:p>
            <w:r/>
            <w:r>
              <w:rPr>
                <w:rFonts w:ascii="맑은 고딕" w:hAnsi="맑은 고딕" w:eastAsia="맑은 고딕"/>
                <w:sz w:val="18"/>
              </w:rPr>
              <w:t>OCA</w:t>
            </w:r>
          </w:p>
        </w:tc>
        <w:tc>
          <w:tcPr>
            <w:tcW w:type="dxa" w:w="7597"/>
          </w:tcPr>
          <w:p>
            <w:r/>
            <w:r>
              <w:rPr>
                <w:rFonts w:ascii="맑은 고딕" w:hAnsi="맑은 고딕" w:eastAsia="맑은 고딕"/>
                <w:sz w:val="18"/>
              </w:rPr>
              <w:t>Optically Clear Adhesive — 윈도우/패널 합착용 광학 투명 점착제(아크릴계)</w:t>
            </w:r>
          </w:p>
        </w:tc>
      </w:tr>
      <w:tr>
        <w:tc>
          <w:tcPr>
            <w:tcW w:type="dxa" w:w="1928"/>
          </w:tcPr>
          <w:p>
            <w:r/>
            <w:r>
              <w:rPr>
                <w:rFonts w:ascii="맑은 고딕" w:hAnsi="맑은 고딕" w:eastAsia="맑은 고딕"/>
                <w:sz w:val="18"/>
              </w:rPr>
              <w:t>BM / CF</w:t>
            </w:r>
          </w:p>
        </w:tc>
        <w:tc>
          <w:tcPr>
            <w:tcW w:type="dxa" w:w="7597"/>
          </w:tcPr>
          <w:p>
            <w:r/>
            <w:r>
              <w:rPr>
                <w:rFonts w:ascii="맑은 고딕" w:hAnsi="맑은 고딕" w:eastAsia="맑은 고딕"/>
                <w:sz w:val="18"/>
              </w:rPr>
              <w:t>블랙 매트릭스(회로부 차광) / 컬러필터(개구부 색선택)</w:t>
            </w:r>
          </w:p>
        </w:tc>
      </w:tr>
      <w:tr>
        <w:tc>
          <w:tcPr>
            <w:tcW w:type="dxa" w:w="1928"/>
          </w:tcPr>
          <w:p>
            <w:r/>
            <w:r>
              <w:rPr>
                <w:rFonts w:ascii="맑은 고딕" w:hAnsi="맑은 고딕" w:eastAsia="맑은 고딕"/>
                <w:sz w:val="18"/>
              </w:rPr>
              <w:t>TFE</w:t>
            </w:r>
          </w:p>
        </w:tc>
        <w:tc>
          <w:tcPr>
            <w:tcW w:type="dxa" w:w="7597"/>
          </w:tcPr>
          <w:p>
            <w:r/>
            <w:r>
              <w:rPr>
                <w:rFonts w:ascii="맑은 고딕" w:hAnsi="맑은 고딕" w:eastAsia="맑은 고딕"/>
                <w:sz w:val="18"/>
              </w:rPr>
              <w:t>Thin-Film Encapsulation — 박막 봉지</w:t>
            </w:r>
          </w:p>
        </w:tc>
      </w:tr>
      <w:tr>
        <w:tc>
          <w:tcPr>
            <w:tcW w:type="dxa" w:w="1928"/>
          </w:tcPr>
          <w:p>
            <w:r/>
            <w:r>
              <w:rPr>
                <w:rFonts w:ascii="맑은 고딕" w:hAnsi="맑은 고딕" w:eastAsia="맑은 고딕"/>
                <w:sz w:val="18"/>
              </w:rPr>
              <w:t>w(t)</w:t>
            </w:r>
          </w:p>
        </w:tc>
        <w:tc>
          <w:tcPr>
            <w:tcW w:type="dxa" w:w="7597"/>
          </w:tcPr>
          <w:p>
            <w:r/>
            <w:r>
              <w:rPr>
                <w:rFonts w:ascii="맑은 고딕" w:hAnsi="맑은 고딕" w:eastAsia="맑은 고딕"/>
                <w:sz w:val="18"/>
              </w:rPr>
              <w:t>액자 폭 — 4변 개별 측정, 내향 침투 깊이</w:t>
            </w:r>
          </w:p>
        </w:tc>
      </w:tr>
      <w:tr>
        <w:tc>
          <w:tcPr>
            <w:tcW w:type="dxa" w:w="1928"/>
          </w:tcPr>
          <w:p>
            <w:r/>
            <w:r>
              <w:rPr>
                <w:rFonts w:ascii="맑은 고딕" w:hAnsi="맑은 고딕" w:eastAsia="맑은 고딕"/>
                <w:sz w:val="18"/>
              </w:rPr>
              <w:t>pO₂ / S / D</w:t>
            </w:r>
          </w:p>
        </w:tc>
        <w:tc>
          <w:tcPr>
            <w:tcW w:type="dxa" w:w="7597"/>
          </w:tcPr>
          <w:p>
            <w:r/>
            <w:r>
              <w:rPr>
                <w:rFonts w:ascii="맑은 고딕" w:hAnsi="맑은 고딕" w:eastAsia="맑은 고딕"/>
                <w:sz w:val="18"/>
              </w:rPr>
              <w:t>산소 분압 / 용해도 계수 / 확산계수</w:t>
            </w:r>
          </w:p>
        </w:tc>
      </w:tr>
      <w:tr>
        <w:tc>
          <w:tcPr>
            <w:tcW w:type="dxa" w:w="1928"/>
          </w:tcPr>
          <w:p>
            <w:r/>
            <w:r>
              <w:rPr>
                <w:rFonts w:ascii="맑은 고딕" w:hAnsi="맑은 고딕" w:eastAsia="맑은 고딕"/>
                <w:sz w:val="18"/>
              </w:rPr>
              <w:t>Ea / AF</w:t>
            </w:r>
          </w:p>
        </w:tc>
        <w:tc>
          <w:tcPr>
            <w:tcW w:type="dxa" w:w="7597"/>
          </w:tcPr>
          <w:p>
            <w:r/>
            <w:r>
              <w:rPr>
                <w:rFonts w:ascii="맑은 고딕" w:hAnsi="맑은 고딕" w:eastAsia="맑은 고딕"/>
                <w:sz w:val="18"/>
              </w:rPr>
              <w:t>활성화 에너지 / 가속 배율</w:t>
            </w:r>
          </w:p>
        </w:tc>
      </w:tr>
      <w:tr>
        <w:tc>
          <w:tcPr>
            <w:tcW w:type="dxa" w:w="1928"/>
          </w:tcPr>
          <w:p>
            <w:r/>
            <w:r>
              <w:rPr>
                <w:rFonts w:ascii="맑은 고딕" w:hAnsi="맑은 고딕" w:eastAsia="맑은 고딕"/>
                <w:sz w:val="18"/>
              </w:rPr>
              <w:t>Da</w:t>
            </w:r>
          </w:p>
        </w:tc>
        <w:tc>
          <w:tcPr>
            <w:tcW w:type="dxa" w:w="7597"/>
          </w:tcPr>
          <w:p>
            <w:r/>
            <w:r>
              <w:rPr>
                <w:rFonts w:ascii="맑은 고딕" w:hAnsi="맑은 고딕" w:eastAsia="맑은 고딕"/>
                <w:sz w:val="18"/>
              </w:rPr>
              <w:t>Damköhler 수 — 반응·확산 시간 스케일 비</w:t>
            </w:r>
          </w:p>
        </w:tc>
      </w:tr>
      <w:tr>
        <w:tc>
          <w:tcPr>
            <w:tcW w:type="dxa" w:w="1928"/>
          </w:tcPr>
          <w:p>
            <w:r/>
            <w:r>
              <w:rPr>
                <w:rFonts w:ascii="맑은 고딕" w:hAnsi="맑은 고딕" w:eastAsia="맑은 고딕"/>
                <w:sz w:val="18"/>
              </w:rPr>
              <w:t>K_SV, τ₀</w:t>
            </w:r>
          </w:p>
        </w:tc>
        <w:tc>
          <w:tcPr>
            <w:tcW w:type="dxa" w:w="7597"/>
          </w:tcPr>
          <w:p>
            <w:r/>
            <w:r>
              <w:rPr>
                <w:rFonts w:ascii="맑은 고딕" w:hAnsi="맑은 고딕" w:eastAsia="맑은 고딕"/>
                <w:sz w:val="18"/>
              </w:rPr>
              <w:t>Stern-Volmer 소광 상수 / 무산소 여기 수명 — 색별 소광 감수성을 결정</w:t>
            </w:r>
          </w:p>
        </w:tc>
      </w:tr>
      <w:tr>
        <w:tc>
          <w:tcPr>
            <w:tcW w:type="dxa" w:w="1928"/>
          </w:tcPr>
          <w:p>
            <w:r/>
            <w:r>
              <w:rPr>
                <w:rFonts w:ascii="맑은 고딕" w:hAnsi="맑은 고딕" w:eastAsia="맑은 고딕"/>
                <w:sz w:val="18"/>
              </w:rPr>
              <w:t>c_th</w:t>
            </w:r>
          </w:p>
        </w:tc>
        <w:tc>
          <w:tcPr>
            <w:tcW w:type="dxa" w:w="7597"/>
          </w:tcPr>
          <w:p>
            <w:r/>
            <w:r>
              <w:rPr>
                <w:rFonts w:ascii="맑은 고딕" w:hAnsi="맑은 고딕" w:eastAsia="맑은 고딕"/>
                <w:sz w:val="18"/>
              </w:rPr>
              <w:t>발광 억제 판정에 대응하는 용존 산소 문턱 농도</w:t>
            </w:r>
          </w:p>
        </w:tc>
      </w:tr>
      <w:tr>
        <w:tc>
          <w:tcPr>
            <w:tcW w:type="dxa" w:w="1928"/>
          </w:tcPr>
          <w:p>
            <w:r/>
            <w:r>
              <w:rPr>
                <w:rFonts w:ascii="맑은 고딕" w:hAnsi="맑은 고딕" w:eastAsia="맑은 고딕"/>
                <w:sz w:val="18"/>
              </w:rPr>
              <w:t>t_rec</w:t>
            </w:r>
          </w:p>
        </w:tc>
        <w:tc>
          <w:tcPr>
            <w:tcW w:type="dxa" w:w="7597"/>
          </w:tcPr>
          <w:p>
            <w:r/>
            <w:r>
              <w:rPr>
                <w:rFonts w:ascii="맑은 고딕" w:hAnsi="맑은 고딕" w:eastAsia="맑은 고딕"/>
                <w:sz w:val="18"/>
              </w:rPr>
              <w:t>UV 리셋 후 재발까지의 시간</w:t>
            </w:r>
          </w:p>
        </w:tc>
      </w:tr>
      <w:tr>
        <w:tc>
          <w:tcPr>
            <w:tcW w:type="dxa" w:w="1928"/>
          </w:tcPr>
          <w:p>
            <w:r/>
            <w:r>
              <w:rPr>
                <w:rFonts w:ascii="맑은 고딕" w:hAnsi="맑은 고딕" w:eastAsia="맑은 고딕"/>
                <w:sz w:val="18"/>
              </w:rPr>
              <w:t>게이지 R&amp;R</w:t>
            </w:r>
          </w:p>
        </w:tc>
        <w:tc>
          <w:tcPr>
            <w:tcW w:type="dxa" w:w="7597"/>
          </w:tcPr>
          <w:p>
            <w:r/>
            <w:r>
              <w:rPr>
                <w:rFonts w:ascii="맑은 고딕" w:hAnsi="맑은 고딕" w:eastAsia="맑은 고딕"/>
                <w:sz w:val="18"/>
              </w:rPr>
              <w:t>판독계 반복성·재현성 평가</w:t>
            </w:r>
          </w:p>
        </w:tc>
      </w:tr>
      <w:tr>
        <w:tc>
          <w:tcPr>
            <w:tcW w:type="dxa" w:w="1928"/>
          </w:tcPr>
          <w:p>
            <w:r/>
            <w:r>
              <w:rPr>
                <w:rFonts w:ascii="맑은 고딕" w:hAnsi="맑은 고딕" w:eastAsia="맑은 고딕"/>
                <w:sz w:val="18"/>
              </w:rPr>
              <w:t>(경험칙)</w:t>
            </w:r>
          </w:p>
        </w:tc>
        <w:tc>
          <w:tcPr>
            <w:tcW w:type="dxa" w:w="7597"/>
          </w:tcPr>
          <w:p>
            <w:r/>
            <w:r>
              <w:rPr>
                <w:rFonts w:ascii="맑은 고딕" w:hAnsi="맑은 고딕" w:eastAsia="맑은 고딕"/>
                <w:sz w:val="18"/>
              </w:rPr>
              <w:t>실측 미확정 가정치 — 해당 시험으로 대체 예정임을 표시</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