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t>적색 발광 액자형 수축 — 원인 규명 시험 착수 보고</w:t>
      </w:r>
    </w:p>
    <w:p>
      <w:pPr>
        <w:spacing w:after="60"/>
      </w:pPr>
      <w:r>
        <w:rPr>
          <w:rFonts w:ascii="맑은 고딕" w:hAnsi="맑은 고딕" w:eastAsia="맑은 고딕"/>
          <w:b w:val="0"/>
          <w:sz w:val="18"/>
        </w:rPr>
        <w:t>2026-08-06 · 상세 계획서 별첨(11개 장)</w:t>
      </w:r>
    </w:p>
    <w:p>
      <w:pPr>
        <w:pStyle w:val="Heading1"/>
        <w:spacing w:before="140" w:after="40"/>
      </w:pPr>
      <w:r>
        <w:t>결론</w:t>
      </w:r>
    </w:p>
    <w:p>
      <w:pPr>
        <w:spacing w:after="60"/>
      </w:pPr>
      <w:r>
        <w:rPr>
          <w:rFonts w:ascii="맑은 고딕" w:hAnsi="맑은 고딕" w:eastAsia="맑은 고딕"/>
          <w:b w:val="0"/>
          <w:sz w:val="19"/>
        </w:rPr>
        <w:t>편광판을 제거한 COE 구조를 적용한 본 과제에서, 적색 발광이 화면 중앙에만 남고 외곽이 액자 모양으로 죽어 들어가는 현상이 발생했다. 유력 원인은 패널 테두리로 침투한 산소가 적색 발광 재료를 물리적으로 억누르는 것이다. 소자가 소모되는 번인이 아니라 산소가 붙었다 떨어지는 가역 현상이므로, 재료 교체 없이 산소 차단 설계로 해결 가능한 문제일 가능성이 높다.</w:t>
      </w:r>
    </w:p>
    <w:p>
      <w:pPr>
        <w:spacing w:after="60"/>
      </w:pPr>
      <w:r>
        <w:rPr>
          <w:rFonts w:ascii="맑은 고딕" w:hAnsi="맑은 고딕" w:eastAsia="맑은 고딕"/>
          <w:b w:val="0"/>
          <w:sz w:val="19"/>
        </w:rPr>
        <w:t>다만 가역 상태에는 시한이 있다. 산소가 발광 재료를 억누르는 과정에서 반응성 높은 활성 산소가 생성되어 재료를 서서히 영구 손상시키기 때문이다. 방치 기간이 길어질수록 회복 가능한 개체 비율이 떨어지므로 조기 착수가 필요하다.</w:t>
      </w:r>
    </w:p>
    <w:p>
      <w:pPr>
        <w:pStyle w:val="Heading1"/>
        <w:spacing w:before="140" w:after="40"/>
      </w:pPr>
      <w:r>
        <w:t>1. 왜 산소인가 — 관측 5건이 하나로 설명된다</w:t>
      </w:r>
    </w:p>
    <w:tbl>
      <w:tblPr>
        <w:tblStyle w:val="TableGrid"/>
        <w:tblW w:type="auto" w:w="0"/>
        <w:tblLook w:firstColumn="1" w:firstRow="1" w:lastColumn="0" w:lastRow="0" w:noHBand="0" w:noVBand="1" w:val="04A0"/>
      </w:tblPr>
      <w:tblGrid>
        <w:gridCol w:w="5043"/>
        <w:gridCol w:w="5043"/>
      </w:tblGrid>
      <w:tr>
        <w:tc>
          <w:tcPr>
            <w:tcW w:type="dxa" w:w="2608"/>
          </w:tcPr>
          <w:p>
            <w:r/>
            <w:r>
              <w:rPr>
                <w:rFonts w:ascii="맑은 고딕" w:hAnsi="맑은 고딕" w:eastAsia="맑은 고딕"/>
                <w:b/>
                <w:sz w:val="17"/>
              </w:rPr>
              <w:t>관측</w:t>
            </w:r>
          </w:p>
        </w:tc>
        <w:tc>
          <w:tcPr>
            <w:tcW w:type="dxa" w:w="7143"/>
          </w:tcPr>
          <w:p>
            <w:r/>
            <w:r>
              <w:rPr>
                <w:rFonts w:ascii="맑은 고딕" w:hAnsi="맑은 고딕" w:eastAsia="맑은 고딕"/>
                <w:b/>
                <w:sz w:val="17"/>
              </w:rPr>
              <w:t>산소 소광 가설의 설명</w:t>
            </w:r>
          </w:p>
        </w:tc>
      </w:tr>
      <w:tr>
        <w:tc>
          <w:tcPr>
            <w:tcW w:type="dxa" w:w="2608"/>
          </w:tcPr>
          <w:p>
            <w:r/>
            <w:r>
              <w:rPr>
                <w:rFonts w:ascii="맑은 고딕" w:hAnsi="맑은 고딕" w:eastAsia="맑은 고딕"/>
                <w:sz w:val="17"/>
              </w:rPr>
              <w:t>외곽만 액자 모양으로 죽는다</w:t>
            </w:r>
          </w:p>
        </w:tc>
        <w:tc>
          <w:tcPr>
            <w:tcW w:type="dxa" w:w="7143"/>
          </w:tcPr>
          <w:p>
            <w:r/>
            <w:r>
              <w:rPr>
                <w:rFonts w:ascii="맑은 고딕" w:hAnsi="맑은 고딕" w:eastAsia="맑은 고딕"/>
                <w:sz w:val="17"/>
              </w:rPr>
              <w:t>산소가 테두리에서 안쪽으로 스며든다. 테두리는 접착층(OCA) 경화가 덜 돼 산소가 잘 통과한다</w:t>
            </w:r>
          </w:p>
        </w:tc>
      </w:tr>
      <w:tr>
        <w:tc>
          <w:tcPr>
            <w:tcW w:type="dxa" w:w="2608"/>
          </w:tcPr>
          <w:p>
            <w:r/>
            <w:r>
              <w:rPr>
                <w:rFonts w:ascii="맑은 고딕" w:hAnsi="맑은 고딕" w:eastAsia="맑은 고딕"/>
                <w:sz w:val="17"/>
              </w:rPr>
              <w:t>시간이 갈수록 안쪽으로 번진다</w:t>
            </w:r>
          </w:p>
        </w:tc>
        <w:tc>
          <w:tcPr>
            <w:tcW w:type="dxa" w:w="7143"/>
          </w:tcPr>
          <w:p>
            <w:r/>
            <w:r>
              <w:rPr>
                <w:rFonts w:ascii="맑은 고딕" w:hAnsi="맑은 고딕" w:eastAsia="맑은 고딕"/>
                <w:sz w:val="17"/>
              </w:rPr>
              <w:t>산소 확산이 계속 진행한다</w:t>
            </w:r>
          </w:p>
        </w:tc>
      </w:tr>
      <w:tr>
        <w:tc>
          <w:tcPr>
            <w:tcW w:type="dxa" w:w="2608"/>
          </w:tcPr>
          <w:p>
            <w:r/>
            <w:r>
              <w:rPr>
                <w:rFonts w:ascii="맑은 고딕" w:hAnsi="맑은 고딕" w:eastAsia="맑은 고딕"/>
                <w:sz w:val="17"/>
              </w:rPr>
              <w:t>적색만 죽는다</w:t>
            </w:r>
          </w:p>
        </w:tc>
        <w:tc>
          <w:tcPr>
            <w:tcW w:type="dxa" w:w="7143"/>
          </w:tcPr>
          <w:p>
            <w:r/>
            <w:r>
              <w:rPr>
                <w:rFonts w:ascii="맑은 고딕" w:hAnsi="맑은 고딕" w:eastAsia="맑은 고딕"/>
                <w:sz w:val="17"/>
              </w:rPr>
              <w:t>적·녹은 발광 지속시간이 청색보다 1000배 가까이 길어 산소에 붙잡힐 확률이 그만큼 크다. 적색이 가장 먼저·크게 나타난다</w:t>
            </w:r>
          </w:p>
        </w:tc>
      </w:tr>
      <w:tr>
        <w:tc>
          <w:tcPr>
            <w:tcW w:type="dxa" w:w="2608"/>
          </w:tcPr>
          <w:p>
            <w:r/>
            <w:r>
              <w:rPr>
                <w:rFonts w:ascii="맑은 고딕" w:hAnsi="맑은 고딕" w:eastAsia="맑은 고딕"/>
                <w:sz w:val="17"/>
              </w:rPr>
              <w:t>UV를 쬐면 복구된다</w:t>
            </w:r>
          </w:p>
        </w:tc>
        <w:tc>
          <w:tcPr>
            <w:tcW w:type="dxa" w:w="7143"/>
          </w:tcPr>
          <w:p>
            <w:r/>
            <w:r>
              <w:rPr>
                <w:rFonts w:ascii="맑은 고딕" w:hAnsi="맑은 고딕" w:eastAsia="맑은 고딕"/>
                <w:sz w:val="17"/>
              </w:rPr>
              <w:t>UV가 접착층에 남은 개시제에서 라디칼을 만들어 산소를 제거한다</w:t>
            </w:r>
          </w:p>
        </w:tc>
      </w:tr>
      <w:tr>
        <w:tc>
          <w:tcPr>
            <w:tcW w:type="dxa" w:w="2608"/>
          </w:tcPr>
          <w:p>
            <w:r/>
            <w:r>
              <w:rPr>
                <w:rFonts w:ascii="맑은 고딕" w:hAnsi="맑은 고딕" w:eastAsia="맑은 고딕"/>
                <w:sz w:val="17"/>
              </w:rPr>
              <w:t>복구 후에도 다시 재발한다</w:t>
            </w:r>
          </w:p>
        </w:tc>
        <w:tc>
          <w:tcPr>
            <w:tcW w:type="dxa" w:w="7143"/>
          </w:tcPr>
          <w:p>
            <w:r/>
            <w:r>
              <w:rPr>
                <w:rFonts w:ascii="맑은 고딕" w:hAnsi="맑은 고딕" w:eastAsia="맑은 고딕"/>
                <w:sz w:val="17"/>
              </w:rPr>
              <w:t>테두리에서 산소가 다시 들어온다. 산소는 소모되지 않고 계속 재공급되므로 반복이 필연이다</w:t>
            </w:r>
          </w:p>
        </w:tc>
      </w:tr>
    </w:tbl>
    <w:p>
      <w:pPr>
        <w:spacing w:after="20"/>
      </w:pPr>
    </w:p>
    <w:p>
      <w:pPr>
        <w:spacing w:after="60"/>
      </w:pPr>
      <w:r>
        <w:rPr>
          <w:rFonts w:ascii="맑은 고딕" w:hAnsi="맑은 고딕" w:eastAsia="맑은 고딕"/>
          <w:b w:val="0"/>
          <w:sz w:val="19"/>
        </w:rPr>
        <w:t>특히 재발 사실이 결정적이다. 접착층의 잔류물이 원인이라면 UV로 한 번 굳히고 나면 원인이 소진되어 재발할 수 없다. 반복 재발한다는 것은 원인이 외부에서 계속 공급되는 물질, 즉 산소라는 뜻이다.</w:t>
      </w:r>
    </w:p>
    <w:p>
      <w:pPr>
        <w:pStyle w:val="Heading1"/>
        <w:spacing w:before="140" w:after="40"/>
      </w:pPr>
      <w:r>
        <w:t>2. 무엇을 시험하는가 — 3단계 13주</w:t>
      </w:r>
    </w:p>
    <w:p>
      <w:pPr>
        <w:spacing w:after="60"/>
      </w:pPr>
      <w:r>
        <w:rPr>
          <w:rFonts w:ascii="맑은 고딕" w:hAnsi="맑은 고딕" w:eastAsia="맑은 고딕"/>
          <w:b w:val="0"/>
          <w:sz w:val="19"/>
        </w:rPr>
        <w:t>완성 모듈을 산소 농도·온도·습도를 통제한 챔버에 방치한 뒤 스마트폰으로 조립해 평가한다.</w:t>
      </w:r>
    </w:p>
    <w:tbl>
      <w:tblPr>
        <w:tblStyle w:val="TableGrid"/>
        <w:tblW w:type="auto" w:w="0"/>
        <w:tblLook w:firstColumn="1" w:firstRow="1" w:lastColumn="0" w:lastRow="0" w:noHBand="0" w:noVBand="1" w:val="04A0"/>
      </w:tblPr>
      <w:tblGrid>
        <w:gridCol w:w="2521"/>
        <w:gridCol w:w="2521"/>
        <w:gridCol w:w="2521"/>
        <w:gridCol w:w="2521"/>
      </w:tblGrid>
      <w:tr>
        <w:tc>
          <w:tcPr>
            <w:tcW w:type="dxa" w:w="1134"/>
          </w:tcPr>
          <w:p>
            <w:r/>
            <w:r>
              <w:rPr>
                <w:rFonts w:ascii="맑은 고딕" w:hAnsi="맑은 고딕" w:eastAsia="맑은 고딕"/>
                <w:b/>
                <w:sz w:val="17"/>
              </w:rPr>
              <w:t>단계</w:t>
            </w:r>
          </w:p>
        </w:tc>
        <w:tc>
          <w:tcPr>
            <w:tcW w:type="dxa" w:w="3175"/>
          </w:tcPr>
          <w:p>
            <w:r/>
            <w:r>
              <w:rPr>
                <w:rFonts w:ascii="맑은 고딕" w:hAnsi="맑은 고딕" w:eastAsia="맑은 고딕"/>
                <w:b/>
                <w:sz w:val="17"/>
              </w:rPr>
              <w:t>내용</w:t>
            </w:r>
          </w:p>
        </w:tc>
        <w:tc>
          <w:tcPr>
            <w:tcW w:type="dxa" w:w="3458"/>
          </w:tcPr>
          <w:p>
            <w:r/>
            <w:r>
              <w:rPr>
                <w:rFonts w:ascii="맑은 고딕" w:hAnsi="맑은 고딕" w:eastAsia="맑은 고딕"/>
                <w:b/>
                <w:sz w:val="17"/>
              </w:rPr>
              <w:t>답을 얻는 질문</w:t>
            </w:r>
          </w:p>
        </w:tc>
        <w:tc>
          <w:tcPr>
            <w:tcW w:type="dxa" w:w="737"/>
          </w:tcPr>
          <w:p>
            <w:r/>
            <w:r>
              <w:rPr>
                <w:rFonts w:ascii="맑은 고딕" w:hAnsi="맑은 고딕" w:eastAsia="맑은 고딕"/>
                <w:b/>
                <w:sz w:val="17"/>
              </w:rPr>
              <w:t>기간</w:t>
            </w:r>
          </w:p>
        </w:tc>
      </w:tr>
      <w:tr>
        <w:tc>
          <w:tcPr>
            <w:tcW w:type="dxa" w:w="1134"/>
          </w:tcPr>
          <w:p>
            <w:r/>
            <w:r>
              <w:rPr>
                <w:rFonts w:ascii="맑은 고딕" w:hAnsi="맑은 고딕" w:eastAsia="맑은 고딕"/>
                <w:sz w:val="17"/>
              </w:rPr>
              <w:t>Phase 1</w:t>
              <w:br/>
              <w:t>스크리닝</w:t>
            </w:r>
          </w:p>
        </w:tc>
        <w:tc>
          <w:tcPr>
            <w:tcW w:type="dxa" w:w="3175"/>
          </w:tcPr>
          <w:p>
            <w:r/>
            <w:r>
              <w:rPr>
                <w:rFonts w:ascii="맑은 고딕" w:hAnsi="맑은 고딕" w:eastAsia="맑은 고딕"/>
                <w:sz w:val="17"/>
              </w:rPr>
              <w:t>① 산소 농도(0/21/100 %) × 테두리 실링 × UV 후경화 12조합 방치</w:t>
              <w:br/>
              <w:t>② UV로 복구시킨 뒤 질소·공기·산소에 나눠 보관하며 재발 시점 측정</w:t>
            </w:r>
          </w:p>
        </w:tc>
        <w:tc>
          <w:tcPr>
            <w:tcW w:type="dxa" w:w="3458"/>
          </w:tcPr>
          <w:p>
            <w:r/>
            <w:r>
              <w:rPr>
                <w:rFonts w:ascii="맑은 고딕" w:hAnsi="맑은 고딕" w:eastAsia="맑은 고딕"/>
                <w:sz w:val="17"/>
              </w:rPr>
              <w:t>산소가 원인인가. ②에서 질소 보관 시 재발이 없으면 산소가 원인이라는 직접 증명이 된다</w:t>
            </w:r>
          </w:p>
        </w:tc>
        <w:tc>
          <w:tcPr>
            <w:tcW w:type="dxa" w:w="737"/>
          </w:tcPr>
          <w:p>
            <w:r/>
            <w:r>
              <w:rPr>
                <w:rFonts w:ascii="맑은 고딕" w:hAnsi="맑은 고딕" w:eastAsia="맑은 고딕"/>
                <w:sz w:val="17"/>
              </w:rPr>
              <w:t>2~3주</w:t>
            </w:r>
          </w:p>
        </w:tc>
      </w:tr>
      <w:tr>
        <w:tc>
          <w:tcPr>
            <w:tcW w:type="dxa" w:w="1134"/>
          </w:tcPr>
          <w:p>
            <w:r/>
            <w:r>
              <w:rPr>
                <w:rFonts w:ascii="맑은 고딕" w:hAnsi="맑은 고딕" w:eastAsia="맑은 고딕"/>
                <w:sz w:val="17"/>
              </w:rPr>
              <w:t>Phase 2</w:t>
              <w:br/>
              <w:t>속도론</w:t>
            </w:r>
          </w:p>
        </w:tc>
        <w:tc>
          <w:tcPr>
            <w:tcW w:type="dxa" w:w="3175"/>
          </w:tcPr>
          <w:p>
            <w:r/>
            <w:r>
              <w:rPr>
                <w:rFonts w:ascii="맑은 고딕" w:hAnsi="맑은 고딕" w:eastAsia="맑은 고딕"/>
                <w:sz w:val="17"/>
              </w:rPr>
              <w:t>산소 농도 3수준 × 온도 3수준 × 시간 5시점 측정</w:t>
            </w:r>
          </w:p>
        </w:tc>
        <w:tc>
          <w:tcPr>
            <w:tcW w:type="dxa" w:w="3458"/>
          </w:tcPr>
          <w:p>
            <w:r/>
            <w:r>
              <w:rPr>
                <w:rFonts w:ascii="맑은 고딕" w:hAnsi="맑은 고딕" w:eastAsia="맑은 고딕"/>
                <w:sz w:val="17"/>
              </w:rPr>
              <w:t>얼마나 빨리 진행하는가. 온도 가속 계수는 얼마인가 — 수명 예측의 근거</w:t>
            </w:r>
          </w:p>
        </w:tc>
        <w:tc>
          <w:tcPr>
            <w:tcW w:type="dxa" w:w="737"/>
          </w:tcPr>
          <w:p>
            <w:r/>
            <w:r>
              <w:rPr>
                <w:rFonts w:ascii="맑은 고딕" w:hAnsi="맑은 고딕" w:eastAsia="맑은 고딕"/>
                <w:sz w:val="17"/>
              </w:rPr>
              <w:t>4~8주</w:t>
            </w:r>
          </w:p>
        </w:tc>
      </w:tr>
      <w:tr>
        <w:tc>
          <w:tcPr>
            <w:tcW w:type="dxa" w:w="1134"/>
          </w:tcPr>
          <w:p>
            <w:r/>
            <w:r>
              <w:rPr>
                <w:rFonts w:ascii="맑은 고딕" w:hAnsi="맑은 고딕" w:eastAsia="맑은 고딕"/>
                <w:sz w:val="17"/>
              </w:rPr>
              <w:t>Phase 3</w:t>
              <w:br/>
              <w:t>검증</w:t>
            </w:r>
          </w:p>
        </w:tc>
        <w:tc>
          <w:tcPr>
            <w:tcW w:type="dxa" w:w="3175"/>
          </w:tcPr>
          <w:p>
            <w:r/>
            <w:r>
              <w:rPr>
                <w:rFonts w:ascii="맑은 고딕" w:hAnsi="맑은 고딕" w:eastAsia="맑은 고딕"/>
                <w:sz w:val="17"/>
              </w:rPr>
              <w:t>시뮬레이션이 예측한 미실험 조건을 실측으로 대조</w:t>
            </w:r>
          </w:p>
        </w:tc>
        <w:tc>
          <w:tcPr>
            <w:tcW w:type="dxa" w:w="3458"/>
          </w:tcPr>
          <w:p>
            <w:r/>
            <w:r>
              <w:rPr>
                <w:rFonts w:ascii="맑은 고딕" w:hAnsi="맑은 고딕" w:eastAsia="맑은 고딕"/>
                <w:sz w:val="17"/>
              </w:rPr>
              <w:t>모델을 설계 판단에 써도 되는가</w:t>
            </w:r>
          </w:p>
        </w:tc>
        <w:tc>
          <w:tcPr>
            <w:tcW w:type="dxa" w:w="737"/>
          </w:tcPr>
          <w:p>
            <w:r/>
            <w:r>
              <w:rPr>
                <w:rFonts w:ascii="맑은 고딕" w:hAnsi="맑은 고딕" w:eastAsia="맑은 고딕"/>
                <w:sz w:val="17"/>
              </w:rPr>
              <w:t>2주</w:t>
            </w:r>
          </w:p>
        </w:tc>
      </w:tr>
    </w:tbl>
    <w:p>
      <w:pPr>
        <w:spacing w:after="20"/>
      </w:pPr>
    </w:p>
    <w:p>
      <w:pPr>
        <w:spacing w:after="60"/>
      </w:pPr>
      <w:r>
        <w:rPr>
          <w:rFonts w:ascii="맑은 고딕" w:hAnsi="맑은 고딕" w:eastAsia="맑은 고딕"/>
          <w:b w:val="0"/>
          <w:sz w:val="19"/>
        </w:rPr>
        <w:t>평가는 스마트폰에 적·녹·청 전면 화면을 각각 띄우고 촬영해 정량화한다. 색을 따로 보는 것이 가설 검증 그 자체다. 산소 소광 가설은 적색·녹색·청색의 죽는 폭이 발광 지속시간 비율대로 나타날 것을 예측하므로, 세 색의 폭 비율이 예측과 맞으면 가설이 확인되고 청색이 가장 넓으면 가설이 기각된다. 별도 해석 없이 측정 그 자체가 판정이 된다.</w:t>
      </w:r>
    </w:p>
    <w:p>
      <w:pPr>
        <w:pStyle w:val="Heading1"/>
        <w:spacing w:before="140" w:after="40"/>
      </w:pPr>
      <w:r>
        <w:t>3. 무엇이 필요한가</w:t>
      </w:r>
    </w:p>
    <w:tbl>
      <w:tblPr>
        <w:tblStyle w:val="TableGrid"/>
        <w:tblW w:type="auto" w:w="0"/>
        <w:tblLook w:firstColumn="1" w:firstRow="1" w:lastColumn="0" w:lastRow="0" w:noHBand="0" w:noVBand="1" w:val="04A0"/>
      </w:tblPr>
      <w:tblGrid>
        <w:gridCol w:w="3362"/>
        <w:gridCol w:w="3362"/>
        <w:gridCol w:w="3362"/>
      </w:tblGrid>
      <w:tr>
        <w:tc>
          <w:tcPr>
            <w:tcW w:type="dxa" w:w="1247"/>
          </w:tcPr>
          <w:p>
            <w:r/>
            <w:r>
              <w:rPr>
                <w:rFonts w:ascii="맑은 고딕" w:hAnsi="맑은 고딕" w:eastAsia="맑은 고딕"/>
                <w:b/>
                <w:sz w:val="17"/>
              </w:rPr>
              <w:t>구분</w:t>
            </w:r>
          </w:p>
        </w:tc>
        <w:tc>
          <w:tcPr>
            <w:tcW w:type="dxa" w:w="3628"/>
          </w:tcPr>
          <w:p>
            <w:r/>
            <w:r>
              <w:rPr>
                <w:rFonts w:ascii="맑은 고딕" w:hAnsi="맑은 고딕" w:eastAsia="맑은 고딕"/>
                <w:b/>
                <w:sz w:val="17"/>
              </w:rPr>
              <w:t>내용</w:t>
            </w:r>
          </w:p>
        </w:tc>
        <w:tc>
          <w:tcPr>
            <w:tcW w:type="dxa" w:w="3628"/>
          </w:tcPr>
          <w:p>
            <w:r/>
            <w:r>
              <w:rPr>
                <w:rFonts w:ascii="맑은 고딕" w:hAnsi="맑은 고딕" w:eastAsia="맑은 고딕"/>
                <w:b/>
                <w:sz w:val="17"/>
              </w:rPr>
              <w:t>비고</w:t>
            </w:r>
          </w:p>
        </w:tc>
      </w:tr>
      <w:tr>
        <w:tc>
          <w:tcPr>
            <w:tcW w:type="dxa" w:w="1247"/>
          </w:tcPr>
          <w:p>
            <w:r/>
            <w:r>
              <w:rPr>
                <w:rFonts w:ascii="맑은 고딕" w:hAnsi="맑은 고딕" w:eastAsia="맑은 고딕"/>
                <w:sz w:val="17"/>
              </w:rPr>
              <w:t>샘플</w:t>
            </w:r>
          </w:p>
        </w:tc>
        <w:tc>
          <w:tcPr>
            <w:tcW w:type="dxa" w:w="3628"/>
          </w:tcPr>
          <w:p>
            <w:r/>
            <w:r>
              <w:rPr>
                <w:rFonts w:ascii="맑은 고딕" w:hAnsi="맑은 고딕" w:eastAsia="맑은 고딕"/>
                <w:sz w:val="17"/>
              </w:rPr>
              <w:t>모듈 약 200~440대</w:t>
            </w:r>
          </w:p>
        </w:tc>
        <w:tc>
          <w:tcPr>
            <w:tcW w:type="dxa" w:w="3628"/>
          </w:tcPr>
          <w:p>
            <w:r/>
            <w:r>
              <w:rPr>
                <w:rFonts w:ascii="맑은 고딕" w:hAnsi="맑은 고딕" w:eastAsia="맑은 고딕"/>
                <w:sz w:val="17"/>
              </w:rPr>
              <w:t>UV 복구로 개체를 재사용할 수 있으면 소요량이 크게 준다. 첫 주 검증으로 확정</w:t>
            </w:r>
          </w:p>
        </w:tc>
      </w:tr>
      <w:tr>
        <w:tc>
          <w:tcPr>
            <w:tcW w:type="dxa" w:w="1247"/>
          </w:tcPr>
          <w:p>
            <w:r/>
            <w:r>
              <w:rPr>
                <w:rFonts w:ascii="맑은 고딕" w:hAnsi="맑은 고딕" w:eastAsia="맑은 고딕"/>
                <w:sz w:val="17"/>
              </w:rPr>
              <w:t>장비 (1순위)</w:t>
            </w:r>
          </w:p>
        </w:tc>
        <w:tc>
          <w:tcPr>
            <w:tcW w:type="dxa" w:w="3628"/>
          </w:tcPr>
          <w:p>
            <w:r/>
            <w:r>
              <w:rPr>
                <w:rFonts w:ascii="맑은 고딕" w:hAnsi="맑은 고딕" w:eastAsia="맑은 고딕"/>
                <w:sz w:val="17"/>
              </w:rPr>
              <w:t>가스 혼합 챔버 + 산소 농도계, 2D 이미징 색채계, 균일광원, 암실 부스, 파장별 UV 광원 + 방사조도계, 스마트폰 고정·제어 지그</w:t>
            </w:r>
          </w:p>
        </w:tc>
        <w:tc>
          <w:tcPr>
            <w:tcW w:type="dxa" w:w="3628"/>
          </w:tcPr>
          <w:p>
            <w:r/>
            <w:r>
              <w:rPr>
                <w:rFonts w:ascii="맑은 고딕" w:hAnsi="맑은 고딕" w:eastAsia="맑은 고딕"/>
                <w:sz w:val="17"/>
              </w:rPr>
              <w:t>하나라도 없으면 착수 불가이거나 측정이 허상에 오염된다. 보유 현황 확인 후 부족분 조달 필요</w:t>
            </w:r>
          </w:p>
        </w:tc>
      </w:tr>
      <w:tr>
        <w:tc>
          <w:tcPr>
            <w:tcW w:type="dxa" w:w="1247"/>
          </w:tcPr>
          <w:p>
            <w:r/>
            <w:r>
              <w:rPr>
                <w:rFonts w:ascii="맑은 고딕" w:hAnsi="맑은 고딕" w:eastAsia="맑은 고딕"/>
                <w:sz w:val="17"/>
              </w:rPr>
              <w:t>장비 (2·3순위)</w:t>
            </w:r>
          </w:p>
        </w:tc>
        <w:tc>
          <w:tcPr>
            <w:tcW w:type="dxa" w:w="3628"/>
          </w:tcPr>
          <w:p>
            <w:r/>
            <w:r>
              <w:rPr>
                <w:rFonts w:ascii="맑은 고딕" w:hAnsi="맑은 고딕" w:eastAsia="맑은 고딕"/>
                <w:sz w:val="17"/>
              </w:rPr>
              <w:t>분광복사계, 항온항습 챔버, 발광 수명 측정, 솔라 시뮬레이터</w:t>
            </w:r>
          </w:p>
        </w:tc>
        <w:tc>
          <w:tcPr>
            <w:tcW w:type="dxa" w:w="3628"/>
          </w:tcPr>
          <w:p>
            <w:r/>
            <w:r>
              <w:rPr>
                <w:rFonts w:ascii="맑은 고딕" w:hAnsi="맑은 고딕" w:eastAsia="맑은 고딕"/>
                <w:sz w:val="17"/>
              </w:rPr>
              <w:t>판별력 보강용. 일부 외주 대체 가능</w:t>
            </w:r>
          </w:p>
        </w:tc>
      </w:tr>
      <w:tr>
        <w:tc>
          <w:tcPr>
            <w:tcW w:type="dxa" w:w="1247"/>
          </w:tcPr>
          <w:p>
            <w:r/>
            <w:r>
              <w:rPr>
                <w:rFonts w:ascii="맑은 고딕" w:hAnsi="맑은 고딕" w:eastAsia="맑은 고딕"/>
                <w:sz w:val="17"/>
              </w:rPr>
              <w:t>업체 협조</w:t>
            </w:r>
          </w:p>
        </w:tc>
        <w:tc>
          <w:tcPr>
            <w:tcW w:type="dxa" w:w="3628"/>
          </w:tcPr>
          <w:p>
            <w:r/>
            <w:r>
              <w:rPr>
                <w:rFonts w:ascii="맑은 고딕" w:hAnsi="맑은 고딕" w:eastAsia="맑은 고딕"/>
                <w:sz w:val="17"/>
              </w:rPr>
              <w:t>OCA 광개시제 계열·흡수 스펙트럼, 경화 공정 조건, 로트별 경화도 데이터, OCA 필름 단품 시편</w:t>
            </w:r>
          </w:p>
        </w:tc>
        <w:tc>
          <w:tcPr>
            <w:tcW w:type="dxa" w:w="3628"/>
          </w:tcPr>
          <w:p>
            <w:r/>
            <w:r>
              <w:rPr>
                <w:rFonts w:ascii="맑은 고딕" w:hAnsi="맑은 고딕" w:eastAsia="맑은 고딕"/>
                <w:sz w:val="17"/>
              </w:rPr>
              <w:t>공문 요청 필요. 미확보 시 일부 판별 시험의 정밀도가 낮아진다</w:t>
            </w:r>
          </w:p>
        </w:tc>
      </w:tr>
      <w:tr>
        <w:tc>
          <w:tcPr>
            <w:tcW w:type="dxa" w:w="1247"/>
          </w:tcPr>
          <w:p>
            <w:r/>
            <w:r>
              <w:rPr>
                <w:rFonts w:ascii="맑은 고딕" w:hAnsi="맑은 고딕" w:eastAsia="맑은 고딕"/>
                <w:sz w:val="17"/>
              </w:rPr>
              <w:t>외주 분석</w:t>
            </w:r>
          </w:p>
        </w:tc>
        <w:tc>
          <w:tcPr>
            <w:tcW w:type="dxa" w:w="3628"/>
          </w:tcPr>
          <w:p>
            <w:r/>
            <w:r>
              <w:rPr>
                <w:rFonts w:ascii="맑은 고딕" w:hAnsi="맑은 고딕" w:eastAsia="맑은 고딕"/>
                <w:sz w:val="17"/>
              </w:rPr>
              <w:t>공초점 라만(경화도), TOF-SIMS(계면), GC-MS(아웃개싱)</w:t>
            </w:r>
          </w:p>
        </w:tc>
        <w:tc>
          <w:tcPr>
            <w:tcW w:type="dxa" w:w="3628"/>
          </w:tcPr>
          <w:p>
            <w:r/>
            <w:r>
              <w:rPr>
                <w:rFonts w:ascii="맑은 고딕" w:hAnsi="맑은 고딕" w:eastAsia="맑은 고딕"/>
                <w:sz w:val="17"/>
              </w:rPr>
              <w:t>장비 보유 불요, 대표 시편 소수만 의뢰</w:t>
            </w:r>
          </w:p>
        </w:tc>
      </w:tr>
    </w:tbl>
    <w:p>
      <w:pPr>
        <w:spacing w:after="20"/>
      </w:pPr>
    </w:p>
    <w:p>
      <w:pPr>
        <w:pStyle w:val="Heading1"/>
        <w:spacing w:before="140" w:after="40"/>
      </w:pPr>
      <w:r>
        <w:t>4. 시뮬레이션 — 왜 구축하고 무엇을 얻는가</w:t>
      </w:r>
    </w:p>
    <w:p>
      <w:pPr>
        <w:spacing w:after="60"/>
      </w:pPr>
      <w:r>
        <w:rPr>
          <w:rFonts w:ascii="맑은 고딕" w:hAnsi="맑은 고딕" w:eastAsia="맑은 고딕"/>
          <w:b w:val="0"/>
          <w:sz w:val="19"/>
        </w:rPr>
        <w:t>시험은 실제로 돌려본 조건의 답만 준다. 물리 모델은 시험하지 않은 조건까지 예측하므로 '어떤 설계면 제품 수명 내에 문제가 없는가'라는 기준을 역산할 수 있다.</w:t>
      </w:r>
    </w:p>
    <w:p>
      <w:pPr>
        <w:pStyle w:val="ListBullet"/>
        <w:spacing w:after="20"/>
      </w:pPr>
      <w:r>
        <w:rPr>
          <w:rFonts w:ascii="맑은 고딕" w:hAnsi="맑은 고딕" w:eastAsia="맑은 고딕"/>
          <w:b/>
        </w:rPr>
        <w:t xml:space="preserve">무엇을 — </w:t>
      </w:r>
      <w:r>
        <w:rPr>
          <w:rFonts w:ascii="맑은 고딕" w:hAnsi="맑은 고딕" w:eastAsia="맑은 고딕"/>
        </w:rPr>
        <w:t>산소가 테두리에서 확산해 들어오는 과정과, 산소 농도에 따라 발광이 얼마나 억눌리는지를 기술하는 방정식으로 구성한다. 광학 산소센서 설계에 쓰이는 표준 물리이며 새로 만드는 이론이 아니다.</w:t>
      </w:r>
    </w:p>
    <w:p>
      <w:pPr>
        <w:pStyle w:val="ListBullet"/>
        <w:spacing w:after="20"/>
      </w:pPr>
      <w:r>
        <w:rPr>
          <w:rFonts w:ascii="맑은 고딕" w:hAnsi="맑은 고딕" w:eastAsia="맑은 고딕"/>
          <w:b/>
        </w:rPr>
        <w:t xml:space="preserve">무엇을 얻나 — </w:t>
      </w:r>
      <w:r>
        <w:rPr>
          <w:rFonts w:ascii="맑은 고딕" w:hAnsi="맑은 고딕" w:eastAsia="맑은 고딕"/>
        </w:rPr>
        <w:t>테두리 실링, UV 후경화, 사용 온도, 산소 차단층 적용 등 제어 수단 각각이 진행을 얼마나 늦추는지 정량 비교하고, 목표 수명을 만족하는 설계 조건을 도출한다.</w:t>
      </w:r>
    </w:p>
    <w:p>
      <w:pPr>
        <w:pStyle w:val="ListBullet"/>
        <w:spacing w:after="20"/>
      </w:pPr>
      <w:r>
        <w:rPr>
          <w:rFonts w:ascii="맑은 고딕" w:hAnsi="맑은 고딕" w:eastAsia="맑은 고딕"/>
          <w:b/>
        </w:rPr>
        <w:t xml:space="preserve">신뢰도 — </w:t>
      </w:r>
      <w:r>
        <w:rPr>
          <w:rFonts w:ascii="맑은 고딕" w:hAnsi="맑은 고딕" w:eastAsia="맑은 고딕"/>
        </w:rPr>
        <w:t>산소 소광 가설을 채택하면 미지수가 사실상 두 개로 줄고 나머지는 문헌치와 별도 측정으로 고정된다. 게다가 적·녹·청 세 색의 폭 비율이 미지수와 무관하게 성립하는 검증식을 주므로, 모델이 맞는지 시험 데이터만으로 바로 확인된다.</w:t>
      </w:r>
    </w:p>
    <w:p>
      <w:pPr>
        <w:pStyle w:val="ListBullet"/>
        <w:spacing w:after="20"/>
      </w:pPr>
      <w:r>
        <w:rPr>
          <w:rFonts w:ascii="맑은 고딕" w:hAnsi="맑은 고딕" w:eastAsia="맑은 고딕"/>
          <w:b/>
        </w:rPr>
        <w:t xml:space="preserve">비용·기간 — </w:t>
      </w:r>
      <w:r>
        <w:rPr>
          <w:rFonts w:ascii="맑은 고딕" w:hAnsi="맑은 고딕" w:eastAsia="맑은 고딕"/>
        </w:rPr>
        <w:t>프로토타입 1주, 시험 데이터 반영 1~2주, 제어 인자 평가 1주. 평면 2차원 계산이라 워크스테이션 1대로 충분하며 별도 HPC 투자는 불필요하다. 프로토타입을 시험 착수 전에 완성해 시험 조건 설계에 활용한다.</w:t>
      </w:r>
    </w:p>
    <w:p>
      <w:pPr>
        <w:spacing w:after="60"/>
      </w:pPr>
      <w:r>
        <w:rPr>
          <w:rFonts w:ascii="맑은 고딕" w:hAnsi="맑은 고딕" w:eastAsia="맑은 고딕"/>
          <w:b w:val="0"/>
          <w:sz w:val="19"/>
        </w:rPr>
        <w:t>가설이 빗나가도 모델은 유지된다. 산소 농도 항을 전하 트랩 항으로 바꾸면 골격이 그대로 재사용되며, 매몰 비용은 챔버 시험 일부에 한정된다.</w:t>
      </w:r>
    </w:p>
    <w:p>
      <w:pPr>
        <w:pStyle w:val="Heading1"/>
        <w:spacing w:before="140" w:after="40"/>
      </w:pPr>
      <w:r>
        <w:t>5. 승인 요청 사항</w:t>
      </w:r>
    </w:p>
    <w:tbl>
      <w:tblPr>
        <w:tblStyle w:val="TableGrid"/>
        <w:tblW w:type="auto" w:w="0"/>
        <w:tblLook w:firstColumn="1" w:firstRow="1" w:lastColumn="0" w:lastRow="0" w:noHBand="0" w:noVBand="1" w:val="04A0"/>
      </w:tblPr>
      <w:tblGrid>
        <w:gridCol w:w="3362"/>
        <w:gridCol w:w="3362"/>
        <w:gridCol w:w="3362"/>
      </w:tblGrid>
      <w:tr>
        <w:tc>
          <w:tcPr>
            <w:tcW w:type="dxa" w:w="454"/>
          </w:tcPr>
          <w:p>
            <w:r/>
            <w:r>
              <w:rPr>
                <w:rFonts w:ascii="맑은 고딕" w:hAnsi="맑은 고딕" w:eastAsia="맑은 고딕"/>
                <w:b/>
                <w:sz w:val="17"/>
              </w:rPr>
              <w:t>#</w:t>
            </w:r>
          </w:p>
        </w:tc>
        <w:tc>
          <w:tcPr>
            <w:tcW w:type="dxa" w:w="5783"/>
          </w:tcPr>
          <w:p>
            <w:r/>
            <w:r>
              <w:rPr>
                <w:rFonts w:ascii="맑은 고딕" w:hAnsi="맑은 고딕" w:eastAsia="맑은 고딕"/>
                <w:b/>
                <w:sz w:val="17"/>
              </w:rPr>
              <w:t>요청</w:t>
            </w:r>
          </w:p>
        </w:tc>
        <w:tc>
          <w:tcPr>
            <w:tcW w:type="dxa" w:w="2268"/>
          </w:tcPr>
          <w:p>
            <w:r/>
            <w:r>
              <w:rPr>
                <w:rFonts w:ascii="맑은 고딕" w:hAnsi="맑은 고딕" w:eastAsia="맑은 고딕"/>
                <w:b/>
                <w:sz w:val="17"/>
              </w:rPr>
              <w:t>필요 시점</w:t>
            </w:r>
          </w:p>
        </w:tc>
      </w:tr>
      <w:tr>
        <w:tc>
          <w:tcPr>
            <w:tcW w:type="dxa" w:w="454"/>
          </w:tcPr>
          <w:p>
            <w:r/>
            <w:r>
              <w:rPr>
                <w:rFonts w:ascii="맑은 고딕" w:hAnsi="맑은 고딕" w:eastAsia="맑은 고딕"/>
                <w:sz w:val="17"/>
              </w:rPr>
              <w:t>1</w:t>
            </w:r>
          </w:p>
        </w:tc>
        <w:tc>
          <w:tcPr>
            <w:tcW w:type="dxa" w:w="5783"/>
          </w:tcPr>
          <w:p>
            <w:r/>
            <w:r>
              <w:rPr>
                <w:rFonts w:ascii="맑은 고딕" w:hAnsi="맑은 고딕" w:eastAsia="맑은 고딕"/>
                <w:sz w:val="17"/>
              </w:rPr>
              <w:t>모듈 샘플 확보 승인 (1차 100대, 재사용 가능 여부 확인 후 2차 확정)</w:t>
            </w:r>
          </w:p>
        </w:tc>
        <w:tc>
          <w:tcPr>
            <w:tcW w:type="dxa" w:w="2268"/>
          </w:tcPr>
          <w:p>
            <w:r/>
            <w:r>
              <w:rPr>
                <w:rFonts w:ascii="맑은 고딕" w:hAnsi="맑은 고딕" w:eastAsia="맑은 고딕"/>
                <w:sz w:val="17"/>
              </w:rPr>
              <w:t>즉시</w:t>
            </w:r>
          </w:p>
        </w:tc>
      </w:tr>
      <w:tr>
        <w:tc>
          <w:tcPr>
            <w:tcW w:type="dxa" w:w="454"/>
          </w:tcPr>
          <w:p>
            <w:r/>
            <w:r>
              <w:rPr>
                <w:rFonts w:ascii="맑은 고딕" w:hAnsi="맑은 고딕" w:eastAsia="맑은 고딕"/>
                <w:sz w:val="17"/>
              </w:rPr>
              <w:t>2</w:t>
            </w:r>
          </w:p>
        </w:tc>
        <w:tc>
          <w:tcPr>
            <w:tcW w:type="dxa" w:w="5783"/>
          </w:tcPr>
          <w:p>
            <w:r/>
            <w:r>
              <w:rPr>
                <w:rFonts w:ascii="맑은 고딕" w:hAnsi="맑은 고딕" w:eastAsia="맑은 고딕"/>
                <w:sz w:val="17"/>
              </w:rPr>
              <w:t>1순위 장비 보유 현황 조사 및 부족분 조달 승인</w:t>
            </w:r>
          </w:p>
        </w:tc>
        <w:tc>
          <w:tcPr>
            <w:tcW w:type="dxa" w:w="2268"/>
          </w:tcPr>
          <w:p>
            <w:r/>
            <w:r>
              <w:rPr>
                <w:rFonts w:ascii="맑은 고딕" w:hAnsi="맑은 고딕" w:eastAsia="맑은 고딕"/>
                <w:sz w:val="17"/>
              </w:rPr>
              <w:t>즉시 (리드타임이 착수일을 결정)</w:t>
            </w:r>
          </w:p>
        </w:tc>
      </w:tr>
      <w:tr>
        <w:tc>
          <w:tcPr>
            <w:tcW w:type="dxa" w:w="454"/>
          </w:tcPr>
          <w:p>
            <w:r/>
            <w:r>
              <w:rPr>
                <w:rFonts w:ascii="맑은 고딕" w:hAnsi="맑은 고딕" w:eastAsia="맑은 고딕"/>
                <w:sz w:val="17"/>
              </w:rPr>
              <w:t>3</w:t>
            </w:r>
          </w:p>
        </w:tc>
        <w:tc>
          <w:tcPr>
            <w:tcW w:type="dxa" w:w="5783"/>
          </w:tcPr>
          <w:p>
            <w:r/>
            <w:r>
              <w:rPr>
                <w:rFonts w:ascii="맑은 고딕" w:hAnsi="맑은 고딕" w:eastAsia="맑은 고딕"/>
                <w:sz w:val="17"/>
              </w:rPr>
              <w:t>패널 업체 앞 자료·시편 요청 공문 발송</w:t>
            </w:r>
          </w:p>
        </w:tc>
        <w:tc>
          <w:tcPr>
            <w:tcW w:type="dxa" w:w="2268"/>
          </w:tcPr>
          <w:p>
            <w:r/>
            <w:r>
              <w:rPr>
                <w:rFonts w:ascii="맑은 고딕" w:hAnsi="맑은 고딕" w:eastAsia="맑은 고딕"/>
                <w:sz w:val="17"/>
              </w:rPr>
              <w:t>1주 내</w:t>
            </w:r>
          </w:p>
        </w:tc>
      </w:tr>
      <w:tr>
        <w:tc>
          <w:tcPr>
            <w:tcW w:type="dxa" w:w="454"/>
          </w:tcPr>
          <w:p>
            <w:r/>
            <w:r>
              <w:rPr>
                <w:rFonts w:ascii="맑은 고딕" w:hAnsi="맑은 고딕" w:eastAsia="맑은 고딕"/>
                <w:sz w:val="17"/>
              </w:rPr>
              <w:t>4</w:t>
            </w:r>
          </w:p>
        </w:tc>
        <w:tc>
          <w:tcPr>
            <w:tcW w:type="dxa" w:w="5783"/>
          </w:tcPr>
          <w:p>
            <w:r/>
            <w:r>
              <w:rPr>
                <w:rFonts w:ascii="맑은 고딕" w:hAnsi="맑은 고딕" w:eastAsia="맑은 고딕"/>
                <w:sz w:val="17"/>
              </w:rPr>
              <w:t>시험 착수 및 시뮬레이션 구축 병행 승인</w:t>
            </w:r>
          </w:p>
        </w:tc>
        <w:tc>
          <w:tcPr>
            <w:tcW w:type="dxa" w:w="2268"/>
          </w:tcPr>
          <w:p>
            <w:r/>
            <w:r>
              <w:rPr>
                <w:rFonts w:ascii="맑은 고딕" w:hAnsi="맑은 고딕" w:eastAsia="맑은 고딕"/>
                <w:sz w:val="17"/>
              </w:rPr>
              <w:t>2주 내</w:t>
            </w:r>
          </w:p>
        </w:tc>
      </w:tr>
    </w:tbl>
    <w:p>
      <w:pPr>
        <w:spacing w:after="20"/>
      </w:pPr>
    </w:p>
    <w:p>
      <w:pPr>
        <w:pStyle w:val="Heading1"/>
        <w:spacing w:before="140" w:after="40"/>
      </w:pPr>
      <w:r>
        <w:t>6. 리스크와 대응</w:t>
      </w:r>
    </w:p>
    <w:p>
      <w:pPr>
        <w:pStyle w:val="ListBullet"/>
        <w:spacing w:after="20"/>
      </w:pPr>
      <w:r>
        <w:rPr>
          <w:rFonts w:ascii="맑은 고딕" w:hAnsi="맑은 고딕" w:eastAsia="맑은 고딕"/>
          <w:b/>
        </w:rPr>
        <w:t xml:space="preserve">가설 기각 — </w:t>
      </w:r>
      <w:r>
        <w:rPr>
          <w:rFonts w:ascii="맑은 고딕" w:hAnsi="맑은 고딕" w:eastAsia="맑은 고딕"/>
        </w:rPr>
        <w:t>질소 조건에서도 재발이 계속되면 산소 가설이 기각된다. Phase 1 2~3주 시점에 조기 확인되며, 축을 전압·온도 중심으로 즉시 재설계한다. 손실은 챔버 시험 일부에 한정된다.</w:t>
      </w:r>
    </w:p>
    <w:p>
      <w:pPr>
        <w:pStyle w:val="ListBullet"/>
        <w:spacing w:after="20"/>
      </w:pPr>
      <w:r>
        <w:rPr>
          <w:rFonts w:ascii="맑은 고딕" w:hAnsi="맑은 고딕" w:eastAsia="맑은 고딕"/>
          <w:b/>
        </w:rPr>
        <w:t xml:space="preserve">가설 부분 반증 — </w:t>
      </w:r>
      <w:r>
        <w:rPr>
          <w:rFonts w:ascii="맑은 고딕" w:hAnsi="맑은 고딕" w:eastAsia="맑은 고딕"/>
        </w:rPr>
        <w:t>적색만 죽고 녹색이 완전히 멀쩡하면 발광 지속시간 차이만으로는 설명되지 않는다. 발광층 위치나 재료 차이 같은 추가 인자를 확인해야 하며, 이 역시 Phase 1의 색별 측정에서 바로 드러난다.</w:t>
      </w:r>
    </w:p>
    <w:p>
      <w:pPr>
        <w:pStyle w:val="ListBullet"/>
        <w:spacing w:after="20"/>
      </w:pPr>
      <w:r>
        <w:rPr>
          <w:rFonts w:ascii="맑은 고딕" w:hAnsi="맑은 고딕" w:eastAsia="맑은 고딕"/>
          <w:b/>
        </w:rPr>
        <w:t xml:space="preserve">신호 미검출 — </w:t>
      </w:r>
      <w:r>
        <w:rPr>
          <w:rFonts w:ascii="맑은 고딕" w:hAnsi="맑은 고딕" w:eastAsia="맑은 고딕"/>
        </w:rPr>
        <w:t>진행이 느려 4주 창에서 유의 변화가 측정 오차에 묻힐 수 있다. 고농도·고온 가속 조건이 방어선이며, 미검출은 '문제 없음'이 아니라 '관찰 연장'으로 처리한다.</w:t>
      </w:r>
    </w:p>
    <w:p>
      <w:pPr>
        <w:pStyle w:val="ListBullet"/>
        <w:spacing w:after="20"/>
      </w:pPr>
      <w:r>
        <w:rPr>
          <w:rFonts w:ascii="맑은 고딕" w:hAnsi="맑은 고딕" w:eastAsia="맑은 고딕"/>
          <w:b/>
        </w:rPr>
        <w:t xml:space="preserve">기전 혼입 — </w:t>
      </w:r>
      <w:r>
        <w:rPr>
          <w:rFonts w:ascii="맑은 고딕" w:hAnsi="맑은 고딕" w:eastAsia="맑은 고딕"/>
        </w:rPr>
        <w:t>습도 조건에서는 되돌릴 수 없는 수분 손상이 섞일 수 있다. 모든 판독에 'UV로 복구되는가'를 판별자로 넣어 두 현상을 개체 단위로 자동 분리한다.</w:t>
      </w:r>
    </w:p>
    <w:sectPr w:rsidR="00FC693F" w:rsidRPr="0006063C" w:rsidSect="00034616">
      <w:pgSz w:w="12240" w:h="15840"/>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