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3B6D"/>
          <w:sz w:val="36"/>
        </w:rPr>
        <w:t>Fibonacci Sphere Sampling + Mollweide Projection을 이용한</w:t>
        <w:br/>
        <w:t>전각도 낙하 응력 분석</w:t>
      </w:r>
    </w:p>
    <w:p>
      <w:pPr>
        <w:jc w:val="center"/>
      </w:pPr>
      <w:r>
        <w:rPr>
          <w:i/>
          <w:color w:val="707070"/>
          <w:sz w:val="20"/>
        </w:rPr>
        <w:t>KooD3plotReader / KooReport Technical Document</w:t>
      </w:r>
    </w:p>
    <w:p/>
    <w:p>
      <w:pPr>
        <w:pStyle w:val="Heading1"/>
      </w:pPr>
      <w:r>
        <w:t>1. 문제 정의: 왜 전각도 낙하 시험이 필요한가</w:t>
      </w:r>
    </w:p>
    <w:p>
      <w:r>
        <w:t>제품 낙하 시험에서 충격 방향은 단위 구(unit sphere) S² 위의 한 점으로 표현된다. 기존 규격(IEC 60068-2-31 등)은 면(face) 6방향, 모서리(edge) 12방향, 꼭짓점(corner) 8방향 — 총 26방향만 평가한다.</w:t>
      </w:r>
    </w:p>
    <w:p>
      <w:pPr>
        <w:spacing w:before="80" w:after="80"/>
        <w:jc w:val="center"/>
      </w:pPr>
      <m:oMath>
        <m:r>
          <m:rPr>
            <m:sty m:val="bi"/>
          </m:rPr>
          <w:rPr>
            <w:rFonts w:ascii="Cambria Math" w:hAnsi="Cambria Math"/>
          </w:rPr>
          <m:t>d</m:t>
        </m:r>
        <m:r>
          <w:rPr>
            <w:rFonts w:ascii="Cambria Math" w:hAnsi="Cambria Math"/>
          </w:rPr>
          <m:t> = </m:t>
        </m:r>
        <m:d>
          <m:dPr>
            <m:begChr m:val="("/>
            <m:endChr m:val=")"/>
          </m:dPr>
          <m:e>
            <m:func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</m:fName>
              <m:e>
                <m:r>
                  <w:rPr>
                    <w:rFonts w:ascii="Cambria Math" w:hAnsi="Cambria Math"/>
                  </w:rPr>
                  <m:t>θ</m:t>
                </m:r>
              </m:e>
            </m:func>
            <m:func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</m:fName>
              <m:e>
                <m:r>
                  <w:rPr>
                    <w:rFonts w:ascii="Cambria Math" w:hAnsi="Cambria Math"/>
                  </w:rPr>
                  <m:t>φ</m:t>
                </m:r>
              </m:e>
            </m:func>
            <m:r>
              <w:rPr>
                <w:rFonts w:ascii="Cambria Math" w:hAnsi="Cambria Math"/>
              </w:rPr>
              <m:t>, </m:t>
            </m:r>
            <m:func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</m:fName>
              <m:e>
                <m:r>
                  <w:rPr>
                    <w:rFonts w:ascii="Cambria Math" w:hAnsi="Cambria Math"/>
                  </w:rPr>
                  <m:t>θ</m:t>
                </m:r>
              </m:e>
            </m:func>
            <m:func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</m:fName>
              <m:e>
                <m:r>
                  <w:rPr>
                    <w:rFonts w:ascii="Cambria Math" w:hAnsi="Cambria Math"/>
                  </w:rPr>
                  <m:t>φ</m:t>
                </m:r>
              </m:e>
            </m:func>
            <m:r>
              <w:rPr>
                <w:rFonts w:ascii="Cambria Math" w:hAnsi="Cambria Math"/>
              </w:rPr>
              <m:t>, </m:t>
            </m:r>
            <m:func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</m:fName>
              <m:e>
                <m:r>
                  <w:rPr>
                    <w:rFonts w:ascii="Cambria Math" w:hAnsi="Cambria Math"/>
                  </w:rPr>
                  <m:t>θ</m:t>
                </m:r>
              </m:e>
            </m:func>
          </m:e>
        </m:d>
        <m:r>
          <w:rPr>
            <w:rFonts w:ascii="Cambria Math" w:hAnsi="Cambria Math"/>
          </w:rPr>
          <m:t> ∈ </m:t>
        </m:r>
        <m:sSup>
          <m:e>
            <m:r>
              <m:rPr>
                <m:sty m:val="p"/>
              </m:rPr>
              <w:rPr>
                <w:rFonts w:ascii="Cambria Math" w:hAnsi="Cambria Math"/>
              </w:rPr>
              <m:t>S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>
      <w:r>
        <w:rPr>
          <w:i w:val="0"/>
        </w:rPr>
        <w:t>여기서 θ는 극각(polar angle), φ는 방위각(azimuthal angle)이다.</w:t>
      </w:r>
    </w:p>
    <w:p>
      <w:r>
        <w:t>26방향은 정육면체의 대칭축에 해당하며, 이들 사이의 "빈 공간"에 최악 방향이 존재할 수 있다. 예를 들어 면과 모서리 사이의 중간 각도, 또는 꼭짓점에서 약간 벗어난 방향에서 응력이 최대가 되는 경우가 흔하다.</w:t>
      </w:r>
    </w:p>
    <w:p>
      <w:r>
        <w:rPr>
          <w:b/>
        </w:rPr>
        <w:t xml:space="preserve">전각도 낙하 분석의 목적: </w:t>
      </w:r>
      <w:r>
        <w:t>구 전체를 균일하게 샘플링하여, 방향 의존적 응력 분포의 전체 맵을 구성하고, 최악 방향을 놓치지 않는 것.</w:t>
      </w:r>
    </w:p>
    <w:p>
      <w:pPr>
        <w:pStyle w:val="Heading1"/>
      </w:pPr>
      <w:r>
        <w:t>2. Fibonacci Lattice Sampling</w:t>
      </w:r>
    </w:p>
    <w:p>
      <w:pPr>
        <w:pStyle w:val="Heading2"/>
      </w:pPr>
      <w:r>
        <w:t>2.1 알고리즘</w:t>
      </w:r>
    </w:p>
    <w:p>
      <w:r>
        <w:t>Fibonacci lattice는 황금비(golden ratio)를 이용하여 구 위에 N개의 점을 준균일(quasi-uniform)하게 배치하는 방법이다.</w:t>
      </w:r>
    </w:p>
    <w:p>
      <w:pPr>
        <w:spacing w:before="80" w:after="80"/>
        <w:jc w:val="center"/>
      </w:pPr>
      <m:oMath>
        <m:r>
          <w:rPr>
            <w:rFonts w:ascii="Cambria Math" w:hAnsi="Cambria Math"/>
          </w:rPr>
          <m:t>ϕ</m:t>
        </m:r>
        <m:r>
          <w:rPr>
            <w:rFonts w:ascii="Cambria Math" w:hAnsi="Cambria Math"/>
          </w:rPr>
          <m:t> = </m:t>
        </m:r>
        <m:f>
          <m:num>
            <m:r>
              <w:rPr>
                <w:rFonts w:ascii="Cambria Math" w:hAnsi="Cambria Math"/>
              </w:rPr>
              <m:t>1 + </m:t>
            </m:r>
            <m:rad>
              <m:radPr>
                <m:degHide m:val="1"/>
              </m:radPr>
              <m:deg/>
              <m:e>
                <m:r>
                  <w:rPr>
                    <w:rFonts w:ascii="Cambria Math" w:hAnsi="Cambria Math"/>
                  </w:rPr>
                  <m:t>5</m:t>
                </m:r>
              </m:e>
            </m:rad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 ≈ 1.6180    (황금비)</m:t>
        </m:r>
      </m:oMath>
    </w:p>
    <w:p>
      <w:r>
        <w:t>N개의 점의 구면 좌표 (k = 0, 1, …, N−1):</w:t>
      </w:r>
    </w:p>
    <w:p>
      <w:pPr>
        <w:spacing w:before="80" w:after="80"/>
        <w:jc w:val="center"/>
      </w:pPr>
      <m:oMath>
        <m:sSub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 = </m:t>
        </m:r>
        <m:func>
          <m:fName>
            <m:r>
              <m:rPr>
                <m:sty m:val="p"/>
              </m:rPr>
              <w:rPr>
                <w:rFonts w:ascii="Cambria Math" w:hAnsi="Cambria Math"/>
              </w:rPr>
              <m:t>arccos</m:t>
            </m:r>
          </m:fName>
          <m:e>
            <m:d>
              <m:dPr>
                <m:begChr m:val="("/>
                <m:endChr m:val=")"/>
              </m:dPr>
              <m:e>
                <m:r>
                  <w:rPr>
                    <w:rFonts w:ascii="Cambria Math" w:hAnsi="Cambria Math"/>
                  </w:rPr>
                  <m:t>1 − </m:t>
                </m:r>
                <m:f>
                  <m:num>
                    <m:r>
                      <w:rPr>
                        <w:rFonts w:ascii="Cambria Math" w:hAnsi="Cambria Math"/>
                      </w:rPr>
                      <m:t>2k + 1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N</m:t>
                    </m:r>
                  </m:den>
                </m:f>
              </m:e>
            </m:d>
          </m:e>
        </m:func>
      </m:oMath>
    </w:p>
    <w:p>
      <w:pPr>
        <w:spacing w:before="80" w:after="80"/>
        <w:jc w:val="center"/>
      </w:pPr>
      <m:oMath>
        <m:sSub>
          <m:e>
            <m: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 = 2πk ⋅ </m:t>
        </m:r>
        <m:f>
          <m:num>
            <m:r>
              <w:rPr>
                <w:rFonts w:ascii="Cambria Math" w:hAnsi="Cambria Math"/>
              </w:rPr>
              <m:t>1</m:t>
            </m:r>
          </m:num>
          <m:den>
            <m:sSup>
              <m:e>
                <m:r>
                  <w:rPr>
                    <w:rFonts w:ascii="Cambria Math" w:hAnsi="Cambria Math"/>
                  </w:rPr>
                  <m:t>ϕ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hAnsi="Cambria Math"/>
          </w:rPr>
          <m:t> ≈ 2πk ⋅ 0.3820</m:t>
        </m:r>
      </m:oMath>
    </w:p>
    <w:p>
      <w:r>
        <w:t>여기서:</w:t>
      </w:r>
    </w:p>
    <w:p>
      <w:pPr>
        <w:pStyle w:val="ListBullet"/>
      </w:pPr>
      <w:r>
        <w:rPr>
          <w:i/>
        </w:rPr>
        <w:t>θ</w:t>
      </w:r>
      <w:r>
        <w:rPr>
          <w:vertAlign w:val="subscript"/>
        </w:rPr>
        <w:t>k</w:t>
      </w:r>
      <w:r>
        <w:t xml:space="preserve"> — 극각. cos θ를 [1, −1] 구간에서 균등 분할하여 </w:t>
      </w:r>
      <w:r>
        <w:rPr>
          <w:b/>
        </w:rPr>
        <w:t>위도 방향 균일성</w:t>
      </w:r>
      <w:r>
        <w:t>을 보장</w:t>
      </w:r>
    </w:p>
    <w:p>
      <w:pPr>
        <w:pStyle w:val="ListBullet"/>
      </w:pPr>
      <w:r>
        <w:rPr>
          <w:i/>
        </w:rPr>
        <w:t>φ</w:t>
      </w:r>
      <w:r>
        <w:rPr>
          <w:vertAlign w:val="subscript"/>
        </w:rPr>
        <w:t>k</w:t>
      </w:r>
      <w:r>
        <w:t xml:space="preserve"> — 방위각. 황금비의 제곱의 역수(ϕ⁻²)만큼 회전하여 </w:t>
      </w:r>
      <w:r>
        <w:rPr>
          <w:b/>
        </w:rPr>
        <w:t>경도 방향 비반복 분산</w:t>
      </w:r>
      <w:r>
        <w:t>을 달성</w:t>
      </w:r>
    </w:p>
    <w:p>
      <w:pPr>
        <w:pStyle w:val="Heading2"/>
      </w:pPr>
      <w:r>
        <w:t>2.2 왜 황금비인가</w:t>
      </w:r>
    </w:p>
    <w:p>
      <w:r>
        <w:t>황금비는 "가장 무리수적인 무리수(most irrational number)"로, 연분수 전개에서 모든 계수가 1이다. 이 성질 때문에 연속적인 점들이 가장 균일하게 분산된다. 각 새로운 점은 기존 점들 사이의 가장 큰 간격(largest gap)을 분할하는 경향이 있어, 임의의 N에서도 준최적 분포를 달성한다.</w:t>
      </w:r>
    </w:p>
    <w:p>
      <w:pPr>
        <w:pStyle w:val="Heading2"/>
      </w:pPr>
      <w:r>
        <w:t>2.3 Cuboid 26방향과의 비교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984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1701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Cuboid 26</w:t>
            </w:r>
          </w:p>
        </w:tc>
        <w:tc>
          <w:tcPr>
            <w:tcW w:type="dxa" w:w="1701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Fibonacci 100</w:t>
            </w:r>
          </w:p>
        </w:tc>
        <w:tc>
          <w:tcPr>
            <w:tcW w:type="dxa" w:w="1701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Fibonacci 1,146</w:t>
            </w:r>
          </w:p>
        </w:tc>
      </w:tr>
      <w:tr>
        <w:tc>
          <w:tcPr>
            <w:tcW w:type="dxa" w:w="1984"/>
            <w:shd w:fill="D9E2F3" w:val="clear"/>
          </w:tcPr>
          <w:p>
            <w:pPr>
              <w:jc w:val="center"/>
            </w:pPr>
            <w:r>
              <w:rPr>
                <w:sz w:val="18"/>
              </w:rPr>
              <w:t>방향 수</w:t>
            </w:r>
          </w:p>
        </w:tc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sz w:val="18"/>
              </w:rPr>
              <w:t>26</w:t>
            </w:r>
          </w:p>
        </w:tc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sz w:val="18"/>
              </w:rPr>
              <w:t>100</w:t>
            </w:r>
          </w:p>
        </w:tc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sz w:val="18"/>
              </w:rPr>
              <w:t>1,146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sz w:val="18"/>
              </w:rPr>
              <w:t>평균 이웃 간격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15.9°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7.9°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~6°</w:t>
            </w:r>
          </w:p>
        </w:tc>
      </w:tr>
      <w:tr>
        <w:tc>
          <w:tcPr>
            <w:tcW w:type="dxa" w:w="1984"/>
            <w:shd w:fill="D9E2F3" w:val="clear"/>
          </w:tcPr>
          <w:p>
            <w:pPr>
              <w:jc w:val="center"/>
            </w:pPr>
            <w:r>
              <w:rPr>
                <w:sz w:val="18"/>
              </w:rPr>
              <w:t>구 커버리지</w:t>
            </w:r>
          </w:p>
        </w:tc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sz w:val="18"/>
              </w:rPr>
              <w:t>~12%</w:t>
            </w:r>
          </w:p>
        </w:tc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sz w:val="18"/>
              </w:rPr>
              <w:t>~12%</w:t>
            </w:r>
          </w:p>
        </w:tc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sz w:val="18"/>
              </w:rPr>
              <w:t>~99%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sz w:val="18"/>
              </w:rPr>
              <w:t>분포 특성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정육면체 대칭축만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준균일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준균일, 고밀도</w:t>
            </w:r>
          </w:p>
        </w:tc>
      </w:tr>
      <w:tr>
        <w:tc>
          <w:tcPr>
            <w:tcW w:type="dxa" w:w="1984"/>
            <w:shd w:fill="D9E2F3" w:val="clear"/>
          </w:tcPr>
          <w:p>
            <w:pPr>
              <w:jc w:val="center"/>
            </w:pPr>
            <w:r>
              <w:rPr>
                <w:sz w:val="18"/>
              </w:rPr>
              <w:t>최악 방향 탐지</w:t>
            </w:r>
          </w:p>
        </w:tc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sz w:val="18"/>
              </w:rPr>
              <w:t>제한적</w:t>
            </w:r>
          </w:p>
        </w:tc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sz w:val="18"/>
              </w:rPr>
              <w:t>양호</w:t>
            </w:r>
          </w:p>
        </w:tc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sz w:val="18"/>
              </w:rPr>
              <w:t>우수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sz w:val="18"/>
              </w:rPr>
              <w:t>시뮬레이션 비용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낮음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중간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높음</w:t>
            </w:r>
          </w:p>
        </w:tc>
      </w:tr>
    </w:tbl>
    <w:p/>
    <w:p>
      <w:r>
        <w:rPr>
          <w:b/>
        </w:rPr>
        <w:t xml:space="preserve">Cuboid의 한계: </w:t>
      </w:r>
      <w:r>
        <w:t>26방향은 정육면체 기하학에 종속되어 있어, 면과 모서리 사이의 약 15°~30° 범위의 방향을 전혀 평가하지 못한다. 제품 형상이 직육면체가 아닌 경우(비대칭 내부 구조, 편심 질량 등) 최악 방향이 이 "사각지대"에 놓일 확률이 높다.</w:t>
      </w:r>
    </w:p>
    <w:p>
      <w:r>
        <w:rPr>
          <w:b/>
        </w:rPr>
        <w:t xml:space="preserve">Fibonacci의 장점: </w:t>
      </w:r>
      <w:r>
        <w:t>N을 임의로 설정 가능하며, 어떤 N에서도 구 위의 점 분포가 준균일하다. 또한 격자 구조가 없으므로 aliasing(격자 아티팩트)이 없고, 방향 해상도 ↔ 시뮬레이션 비용의 트레이드오프를 자유롭게 조절할 수 있다.</w:t>
      </w:r>
    </w:p>
    <w:p>
      <w:pPr>
        <w:pStyle w:val="Heading2"/>
      </w:pPr>
      <w:r>
        <w:t>2.4 최소 샘플 수 결정</w:t>
      </w:r>
    </w:p>
    <w:p>
      <w:r>
        <w:t>평균 이웃 간격 Δθ는 다음으로 근사된다:</w:t>
      </w:r>
    </w:p>
    <w:p>
      <w:pPr>
        <w:spacing w:before="80" w:after="80"/>
        <w:jc w:val="center"/>
      </w:pPr>
      <m:oMath>
        <m:r>
          <w:rPr>
            <w:rFonts w:ascii="Cambria Math" w:hAnsi="Cambria Math"/>
          </w:rPr>
          <m:t>Δθ ≈ </m:t>
        </m:r>
        <m:rad>
          <m:radPr>
            <m:degHide m:val="1"/>
          </m:radPr>
          <m:deg/>
          <m:e>
            <m:f>
              <m:num>
                <m:r>
                  <w:rPr>
                    <w:rFonts w:ascii="Cambria Math" w:hAnsi="Cambria Math"/>
                  </w:rPr>
                  <m:t>4π</m:t>
                </m:r>
              </m:num>
              <m:den>
                <m:r>
                  <w:rPr>
                    <w:rFonts w:ascii="Cambria Math" w:hAnsi="Cambria Math"/>
                  </w:rPr>
                  <m:t>N</m:t>
                </m:r>
              </m:den>
            </m:f>
          </m:e>
        </m:rad>
        <m:r>
          <w:rPr>
            <w:rFonts w:ascii="Cambria Math" w:hAnsi="Cambria Math"/>
          </w:rPr>
          <m:t>    (rad)</m:t>
        </m:r>
      </m:oMath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목표 해상도</w:t>
            </w:r>
          </w:p>
        </w:tc>
        <w:tc>
          <w:tcPr>
            <w:tcW w:type="dxa" w:w="2268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필요 N</w:t>
            </w:r>
          </w:p>
        </w:tc>
      </w:tr>
      <w:tr>
        <w:tc>
          <w:tcPr>
            <w:tcW w:type="dxa" w:w="2268"/>
            <w:shd w:fill="D9E2F3" w:val="clear"/>
          </w:tcPr>
          <w:p>
            <w:pPr>
              <w:jc w:val="center"/>
            </w:pPr>
            <w:r>
              <w:rPr>
                <w:sz w:val="18"/>
              </w:rPr>
              <w:t>30°</w:t>
            </w:r>
          </w:p>
        </w:tc>
        <w:tc>
          <w:tcPr>
            <w:tcW w:type="dxa" w:w="2268"/>
            <w:shd w:fill="D9E2F3" w:val="clear"/>
          </w:tcPr>
          <w:p>
            <w:pPr>
              <w:jc w:val="center"/>
            </w:pPr>
            <w:r>
              <w:rPr>
                <w:sz w:val="18"/>
              </w:rPr>
              <w:t>~46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sz w:val="18"/>
              </w:rPr>
              <w:t>15°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18"/>
              </w:rPr>
              <w:t>~183</w:t>
            </w:r>
          </w:p>
        </w:tc>
      </w:tr>
      <w:tr>
        <w:tc>
          <w:tcPr>
            <w:tcW w:type="dxa" w:w="2268"/>
            <w:shd w:fill="D9E2F3" w:val="clear"/>
          </w:tcPr>
          <w:p>
            <w:pPr>
              <w:jc w:val="center"/>
            </w:pPr>
            <w:r>
              <w:rPr>
                <w:sz w:val="18"/>
              </w:rPr>
              <w:t>10°</w:t>
            </w:r>
          </w:p>
        </w:tc>
        <w:tc>
          <w:tcPr>
            <w:tcW w:type="dxa" w:w="2268"/>
            <w:shd w:fill="D9E2F3" w:val="clear"/>
          </w:tcPr>
          <w:p>
            <w:pPr>
              <w:jc w:val="center"/>
            </w:pPr>
            <w:r>
              <w:rPr>
                <w:sz w:val="18"/>
              </w:rPr>
              <w:t>~413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sz w:val="18"/>
              </w:rPr>
              <w:t>6°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18"/>
              </w:rPr>
              <w:t>~1,146</w:t>
            </w:r>
          </w:p>
        </w:tc>
      </w:tr>
      <w:tr>
        <w:tc>
          <w:tcPr>
            <w:tcW w:type="dxa" w:w="2268"/>
            <w:shd w:fill="D9E2F3" w:val="clear"/>
          </w:tcPr>
          <w:p>
            <w:pPr>
              <w:jc w:val="center"/>
            </w:pPr>
            <w:r>
              <w:rPr>
                <w:sz w:val="18"/>
              </w:rPr>
              <w:t>3°</w:t>
            </w:r>
          </w:p>
        </w:tc>
        <w:tc>
          <w:tcPr>
            <w:tcW w:type="dxa" w:w="2268"/>
            <w:shd w:fill="D9E2F3" w:val="clear"/>
          </w:tcPr>
          <w:p>
            <w:pPr>
              <w:jc w:val="center"/>
            </w:pPr>
            <w:r>
              <w:rPr>
                <w:sz w:val="18"/>
              </w:rPr>
              <w:t>~4,584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sz w:val="18"/>
              </w:rPr>
              <w:t>1°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18"/>
              </w:rPr>
              <w:t>~41,253</w:t>
            </w:r>
          </w:p>
        </w:tc>
      </w:tr>
    </w:tbl>
    <w:p/>
    <w:p>
      <w:r>
        <w:t>참고: 구의 총 제곱도(square degrees)는 4π × (180/π)² ≈ 41,253이므로, 1° 해상도는 구 전체를 1° × 1° 셀로 분할하는 것과 동일한 밀도이다.</w:t>
      </w:r>
    </w:p>
    <w:p>
      <w:r>
        <w:t>전각도 낙하 시험에서는 일반적으로 6°~10° 해상도가 산업적으로 충분하며, 이는 N = 400~1,200에 해당한다.</w:t>
      </w:r>
    </w:p>
    <w:p>
      <w:pPr>
        <w:pStyle w:val="Heading1"/>
      </w:pPr>
      <w:r>
        <w:t>3. Mollweide Projection (몰바이데 도법)</w:t>
      </w:r>
    </w:p>
    <w:p>
      <w:pPr>
        <w:pStyle w:val="Heading2"/>
      </w:pPr>
      <w:r>
        <w:t>3.1 정의</w:t>
      </w:r>
    </w:p>
    <w:p>
      <w:r>
        <w:t>Mollweide 도법은 등적(equal-area) 의사원통 도법으로, 구 위의 면적비가 평면에서도 보존된다. 지도학에서 전세계 분포 패턴 시각화에 사용되며, 본 시스템에서는 충격 방향별 응력 분포를 시각화한다.</w:t>
      </w:r>
    </w:p>
    <w:p>
      <w:r>
        <w:t>경도 λ, 위도 φ에 대한 투영 좌표 (x, y):</w:t>
      </w:r>
    </w:p>
    <w:p>
      <w:pPr>
        <w:spacing w:before="80" w:after="80"/>
        <w:jc w:val="center"/>
      </w:pPr>
      <m:oMath>
        <m:r>
          <w:rPr>
            <w:rFonts w:ascii="Cambria Math" w:hAnsi="Cambria Math"/>
          </w:rPr>
          <m:t>x = </m:t>
        </m:r>
        <m:f>
          <m:num>
            <m:r>
              <w:rPr>
                <w:rFonts w:ascii="Cambria Math" w:hAnsi="Cambria Math"/>
              </w:rPr>
              <m:t>2</m:t>
            </m:r>
            <m:rad>
              <m:radPr>
                <m:degHide m:val="1"/>
              </m:radPr>
              <m:deg/>
              <m:e>
                <m:r>
                  <w:rPr>
                    <w:rFonts w:ascii="Cambria Math" w:hAnsi="Cambria Math"/>
                  </w:rPr>
                  <m:t>2</m:t>
                </m:r>
              </m:e>
            </m:rad>
          </m:num>
          <m:den>
            <m:r>
              <w:rPr>
                <w:rFonts w:ascii="Cambria Math" w:hAnsi="Cambria Math"/>
              </w:rPr>
              <m:t>π</m:t>
            </m:r>
          </m:den>
        </m:f>
        <m:r>
          <w:rPr>
            <w:rFonts w:ascii="Cambria Math" w:hAnsi="Cambria Math"/>
          </w:rPr>
          <m:t> λ </m:t>
        </m:r>
        <m:func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r>
              <w:rPr>
                <w:rFonts w:ascii="Cambria Math" w:hAnsi="Cambria Math"/>
              </w:rPr>
              <m:t>θ</m:t>
            </m:r>
          </m:e>
        </m:func>
      </m:oMath>
    </w:p>
    <w:p>
      <w:pPr>
        <w:spacing w:before="80" w:after="80"/>
        <w:jc w:val="center"/>
      </w:pPr>
      <m:oMath>
        <m:r>
          <w:rPr>
            <w:rFonts w:ascii="Cambria Math" w:hAnsi="Cambria Math"/>
          </w:rPr>
          <m:t>y = </m:t>
        </m:r>
        <m:rad>
          <m:radPr>
            <m:degHide m:val="1"/>
          </m:radPr>
          <m:deg/>
          <m:e>
            <m:r>
              <w:rPr>
                <w:rFonts w:ascii="Cambria Math" w:hAnsi="Cambria Math"/>
              </w:rPr>
              <m:t>2</m:t>
            </m:r>
          </m:e>
        </m:rad>
        <m:r>
          <w:rPr>
            <w:rFonts w:ascii="Cambria Math" w:hAnsi="Cambria Math"/>
          </w:rPr>
          <m:t> </m:t>
        </m:r>
        <m:func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r>
              <w:rPr>
                <w:rFonts w:ascii="Cambria Math" w:hAnsi="Cambria Math"/>
              </w:rPr>
              <m:t>θ</m:t>
            </m:r>
          </m:e>
        </m:func>
      </m:oMath>
    </w:p>
    <w:p>
      <w:r>
        <w:t>여기서 보조각(auxiliary angle) θ는 다음 초월방정식의 해이다:</w:t>
      </w:r>
    </w:p>
    <w:p>
      <w:pPr>
        <w:spacing w:before="80" w:after="80"/>
        <w:jc w:val="center"/>
      </w:pPr>
      <m:oMath>
        <m:r>
          <w:rPr>
            <w:rFonts w:ascii="Cambria Math" w:hAnsi="Cambria Math"/>
          </w:rPr>
          <m:t>2θ + </m:t>
        </m:r>
        <m:func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d>
              <m:dPr>
                <m:begChr m:val="("/>
                <m:endChr m:val=")"/>
              </m:dPr>
              <m:e>
                <m:r>
                  <w:rPr>
                    <w:rFonts w:ascii="Cambria Math" w:hAnsi="Cambria Math"/>
                  </w:rPr>
                  <m:t>2θ</m:t>
                </m:r>
              </m:e>
            </m:d>
          </m:e>
        </m:func>
        <m:r>
          <w:rPr>
            <w:rFonts w:ascii="Cambria Math" w:hAnsi="Cambria Math"/>
          </w:rPr>
          <m:t> = π </m:t>
        </m:r>
        <m:func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r>
              <w:rPr>
                <w:rFonts w:ascii="Cambria Math" w:hAnsi="Cambria Math"/>
              </w:rPr>
              <m:t>φ</m:t>
            </m:r>
          </m:e>
        </m:func>
      </m:oMath>
    </w:p>
    <w:p>
      <w:r>
        <w:t>이 방정식은 해석적 해가 없으므로, Newton-Raphson 반복법으로 풀이한다:</w:t>
      </w:r>
    </w:p>
    <w:p>
      <w:pPr>
        <w:spacing w:before="80" w:after="80"/>
        <w:jc w:val="center"/>
      </w:pPr>
      <m:oMath>
        <m:sSub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n+1</m:t>
            </m:r>
          </m:sub>
        </m:sSub>
        <m:r>
          <w:rPr>
            <w:rFonts w:ascii="Cambria Math" w:hAnsi="Cambria Math"/>
          </w:rPr>
          <m:t> = </m:t>
        </m:r>
        <m:sSub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 − </m:t>
        </m:r>
        <m:f>
          <m:num>
            <m:r>
              <w:rPr>
                <w:rFonts w:ascii="Cambria Math" w:hAnsi="Cambria Math"/>
              </w:rPr>
              <m:t>2</m:t>
            </m:r>
            <m:sSub>
              <m:e>
                <m:r>
                  <w:rPr>
                    <w:rFonts w:ascii="Cambria Math" w:hAnsi="Cambria Math"/>
                  </w:rPr>
                  <m:t>θ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  <m:r>
              <w:rPr>
                <w:rFonts w:ascii="Cambria Math" w:hAnsi="Cambria Math"/>
              </w:rPr>
              <m:t> + </m:t>
            </m:r>
            <m:func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</m:fName>
              <m:e>
                <m:d>
                  <m:dPr>
                    <m:begChr m:val="("/>
                    <m:endChr m:val=")"/>
                  </m:dPr>
                  <m:e>
                    <m:r>
                      <w:rPr>
                        <w:rFonts w:ascii="Cambria Math" w:hAnsi="Cambria Math"/>
                      </w:rPr>
                      <m:t>2</m:t>
                    </m:r>
                    <m:sSub>
                      <m:e>
                        <m:r>
                          <w:rPr>
                            <w:rFonts w:ascii="Cambria Math" w:hAnsi="Cambria Math"/>
                          </w:rPr>
                          <m:t>θ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b>
                    </m:sSub>
                  </m:e>
                </m:d>
              </m:e>
            </m:func>
            <m:r>
              <w:rPr>
                <w:rFonts w:ascii="Cambria Math" w:hAnsi="Cambria Math"/>
              </w:rPr>
              <m:t> − π </m:t>
            </m:r>
            <m:func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</m:fName>
              <m:e>
                <m:r>
                  <w:rPr>
                    <w:rFonts w:ascii="Cambria Math" w:hAnsi="Cambria Math"/>
                  </w:rPr>
                  <m:t>φ</m:t>
                </m:r>
              </m:e>
            </m:func>
          </m:num>
          <m:den>
            <m:r>
              <w:rPr>
                <w:rFonts w:ascii="Cambria Math" w:hAnsi="Cambria Math"/>
              </w:rPr>
              <m:t>2 + 2</m:t>
            </m:r>
            <m:func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</m:fName>
              <m:e>
                <m:d>
                  <m:dPr>
                    <m:begChr m:val="("/>
                    <m:endChr m:val=")"/>
                  </m:dPr>
                  <m:e>
                    <m:r>
                      <w:rPr>
                        <w:rFonts w:ascii="Cambria Math" w:hAnsi="Cambria Math"/>
                      </w:rPr>
                      <m:t>2</m:t>
                    </m:r>
                    <m:sSub>
                      <m:e>
                        <m:r>
                          <w:rPr>
                            <w:rFonts w:ascii="Cambria Math" w:hAnsi="Cambria Math"/>
                          </w:rPr>
                          <m:t>θ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b>
                    </m:sSub>
                  </m:e>
                </m:d>
              </m:e>
            </m:func>
          </m:den>
        </m:f>
      </m:oMath>
    </w:p>
    <w:p>
      <w:pPr>
        <w:pStyle w:val="Heading2"/>
      </w:pPr>
      <w:r>
        <w:t>3.2 등적 성질의 의미</w:t>
      </w:r>
    </w:p>
    <w:p>
      <w:r>
        <w:t>Mollweide 도법의 핵심은 등적(equal-area) 성질이다. 이것이 응력 분석에서 중요한 이유:</w:t>
      </w:r>
    </w:p>
    <w:p>
      <w:pPr>
        <w:pStyle w:val="ListBullet"/>
      </w:pPr>
      <w:r>
        <w:rPr>
          <w:b/>
        </w:rPr>
        <w:t xml:space="preserve">시각적 면적 비례: </w:t>
      </w:r>
      <w:r>
        <w:t>맵에서 빨간(고응력) 영역의 넓이가 실제 구 위에서 위험 방향이 차지하는 입체각(solid angle)에 비례한다.</w:t>
      </w:r>
    </w:p>
    <w:p>
      <w:pPr>
        <w:pStyle w:val="ListBullet"/>
      </w:pPr>
      <w:r>
        <w:rPr>
          <w:b/>
        </w:rPr>
        <w:t xml:space="preserve">정량적 해석 가능: </w:t>
      </w:r>
      <w:r>
        <w:t>"전체 방향의 30%에서 항복 응력을 초과"와 같은 진술이 맵의 면적 비율로 직접 읽힌다.</w:t>
      </w:r>
    </w:p>
    <w:p>
      <w:pPr>
        <w:pStyle w:val="ListBullet"/>
      </w:pPr>
      <w:r>
        <w:rPr>
          <w:b/>
        </w:rPr>
        <w:t xml:space="preserve">편향 없는 비교: </w:t>
      </w:r>
      <w:r>
        <w:t>극지방과 적도 지역의 면적이 동일하게 표현되어, 특정 방향이 과대/과소 대표되지 않는다.</w:t>
      </w:r>
    </w:p>
    <w:p>
      <w:r>
        <w:t>참고로, 일반 정사각형 위경도 격자(equirectangular projection)에서는 극지방이 심하게 왜곡되어 면적 비율이 의미를 잃는다.</w:t>
      </w:r>
    </w:p>
    <w:p>
      <w:pPr>
        <w:pStyle w:val="Heading2"/>
      </w:pPr>
      <w:r>
        <w:t>3.3 역변환 (Inverse Mollweide)</w:t>
      </w:r>
    </w:p>
    <w:p>
      <w:r>
        <w:t>IDW 보간에서 맵 픽셀 → 구면 좌표 역변환이 필요하다:</w:t>
      </w:r>
    </w:p>
    <w:p>
      <w:pPr>
        <w:spacing w:before="80" w:after="80"/>
        <w:jc w:val="center"/>
      </w:pPr>
      <m:oMath>
        <m:r>
          <w:rPr>
            <w:rFonts w:ascii="Cambria Math" w:hAnsi="Cambria Math"/>
          </w:rPr>
          <m:t>θ = </m:t>
        </m:r>
        <m:func>
          <m:fName>
            <m:r>
              <m:rPr>
                <m:sty m:val="p"/>
              </m:rPr>
              <w:rPr>
                <w:rFonts w:ascii="Cambria Math" w:hAnsi="Cambria Math"/>
              </w:rPr>
              <m:t>arcsin</m:t>
            </m:r>
          </m:fName>
          <m:e>
            <m:d>
              <m:dPr>
                <m:begChr m:val="("/>
                <m:endChr m:val=")"/>
              </m:dPr>
              <m:e>
                <m:f>
                  <m:num>
                    <m:r>
                      <w:rPr>
                        <w:rFonts w:ascii="Cambria Math" w:hAnsi="Cambria Math"/>
                      </w:rPr>
                      <m:t>y</m:t>
                    </m:r>
                  </m:num>
                  <m:den>
                    <m:rad>
                      <m:radPr>
                        <m:degHide m:val="1"/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</m:rad>
                  </m:den>
                </m:f>
              </m:e>
            </m:d>
          </m:e>
        </m:func>
      </m:oMath>
    </w:p>
    <w:p>
      <w:pPr>
        <w:spacing w:before="80" w:after="80"/>
        <w:jc w:val="center"/>
      </w:pPr>
      <m:oMath>
        <m:r>
          <w:rPr>
            <w:rFonts w:ascii="Cambria Math" w:hAnsi="Cambria Math"/>
          </w:rPr>
          <m:t>φ = </m:t>
        </m:r>
        <m:func>
          <m:fName>
            <m:r>
              <m:rPr>
                <m:sty m:val="p"/>
              </m:rPr>
              <w:rPr>
                <w:rFonts w:ascii="Cambria Math" w:hAnsi="Cambria Math"/>
              </w:rPr>
              <m:t>arcsin</m:t>
            </m:r>
          </m:fName>
          <m:e>
            <m:d>
              <m:dPr>
                <m:begChr m:val="("/>
                <m:endChr m:val=")"/>
              </m:dPr>
              <m:e>
                <m:f>
                  <m:num>
                    <m:r>
                      <w:rPr>
                        <w:rFonts w:ascii="Cambria Math" w:hAnsi="Cambria Math"/>
                      </w:rPr>
                      <m:t>2θ + </m:t>
                    </m:r>
                    <m:func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sin</m:t>
                        </m:r>
                      </m:fName>
                      <m:e>
                        <m:d>
                          <m:dPr>
                            <m:begChr m:val="("/>
                            <m:endChr m:val=")"/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2θ</m:t>
                            </m:r>
                          </m:e>
                        </m:d>
                      </m:e>
                    </m:func>
                  </m:num>
                  <m:den>
                    <m:r>
                      <w:rPr>
                        <w:rFonts w:ascii="Cambria Math" w:hAnsi="Cambria Math"/>
                      </w:rPr>
                      <m:t>π</m:t>
                    </m:r>
                  </m:den>
                </m:f>
              </m:e>
            </m:d>
          </m:e>
        </m:func>
      </m:oMath>
    </w:p>
    <w:p>
      <w:pPr>
        <w:spacing w:before="80" w:after="80"/>
        <w:jc w:val="center"/>
      </w:pPr>
      <m:oMath>
        <m:r>
          <w:rPr>
            <w:rFonts w:ascii="Cambria Math" w:hAnsi="Cambria Math"/>
          </w:rPr>
          <m:t>λ = </m:t>
        </m:r>
        <m:f>
          <m:num>
            <m:r>
              <w:rPr>
                <w:rFonts w:ascii="Cambria Math" w:hAnsi="Cambria Math"/>
              </w:rPr>
              <m:t>πx</m:t>
            </m:r>
          </m:num>
          <m:den>
            <m:r>
              <w:rPr>
                <w:rFonts w:ascii="Cambria Math" w:hAnsi="Cambria Math"/>
              </w:rPr>
              <m:t>2</m:t>
            </m:r>
            <m:rad>
              <m:radPr>
                <m:degHide m:val="1"/>
              </m:radPr>
              <m:deg/>
              <m:e>
                <m:r>
                  <w:rPr>
                    <w:rFonts w:ascii="Cambria Math" w:hAnsi="Cambria Math"/>
                  </w:rPr>
                  <m:t>2</m:t>
                </m:r>
              </m:e>
            </m:rad>
            <m:r>
              <w:rPr>
                <w:rFonts w:ascii="Cambria Math" w:hAnsi="Cambria Math"/>
              </w:rPr>
              <m:t> </m:t>
            </m:r>
            <m:func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</m:fName>
              <m:e>
                <m:r>
                  <w:rPr>
                    <w:rFonts w:ascii="Cambria Math" w:hAnsi="Cambria Math"/>
                  </w:rPr>
                  <m:t>θ</m:t>
                </m:r>
              </m:e>
            </m:func>
          </m:den>
        </m:f>
      </m:oMath>
    </w:p>
    <w:p>
      <w:pPr>
        <w:pStyle w:val="Heading2"/>
      </w:pPr>
      <w:r>
        <w:t>3.4 Newton-Raphson 수렴 안정화</w:t>
      </w:r>
    </w:p>
    <w:p>
      <w:r>
        <w:t>표준 Newton-Raphson은 특정 위도에서 발산할 수 있다. 도함수 f'(θ) = 2 + 2cos(2θ)가 θ = ±π/4 부근에서 작아지면 스텝이 과도하게 커져 θ가 유효 범위 [−π/2, π/2]를 벗어나고, sin(huge number)가 무작위 값을 반환하여 y좌표가 뒤집히는 현상이 발생한다.</w:t>
      </w:r>
    </w:p>
    <w:p>
      <w:r>
        <w:rPr>
          <w:b/>
        </w:rPr>
        <w:t>해결: 감쇠 Newton-Raphson (Damped Newton-Raphson)</w:t>
      </w:r>
    </w:p>
    <w:p>
      <w:pPr>
        <w:pStyle w:val="ListBullet"/>
      </w:pPr>
      <w:r>
        <w:t>스텝 크기를 최대 0.3 rad로 제한</w:t>
      </w:r>
    </w:p>
    <w:p>
      <w:pPr>
        <w:pStyle w:val="ListBullet"/>
      </w:pPr>
      <w:r>
        <w:t>θ를 항상 [−π/2 + ε, π/2 − ε] 범위로 클램핑</w:t>
      </w:r>
    </w:p>
    <w:p>
      <w:pPr>
        <w:pStyle w:val="ListBullet"/>
      </w:pPr>
      <w:r>
        <w:t>극점(|φ| &gt; π/2 − ε)에서는 직접 θ = ±π/2 할당</w:t>
      </w:r>
    </w:p>
    <w:p>
      <w:pPr>
        <w:pStyle w:val="Heading1"/>
      </w:pPr>
      <w:r>
        <w:t>4. IDW (Inverse Distance Weighting) 구면 보간</w:t>
      </w:r>
    </w:p>
    <w:p>
      <w:pPr>
        <w:pStyle w:val="Heading2"/>
      </w:pPr>
      <w:r>
        <w:t>4.1 알고리즘</w:t>
      </w:r>
    </w:p>
    <w:p>
      <w:r>
        <w:t>N개의 데이터 포인트 (λᵢ, φᵢ, vᵢ)가 주어졌을 때, 임의의 위치 (λ₀, φ₀)에서의 보간값:</w:t>
      </w:r>
    </w:p>
    <w:p>
      <w:pPr>
        <w:spacing w:before="80" w:after="80"/>
        <w:jc w:val="center"/>
      </w:pPr>
      <m:oMath>
        <m:r>
          <w:rPr>
            <w:rFonts w:ascii="Cambria Math" w:hAnsi="Cambria Math"/>
          </w:rPr>
          <m:t>v̂</m:t>
        </m:r>
        <m:d>
          <m:dPr>
            <m:begChr m:val="("/>
            <m:endChr m:val=")"/>
          </m:dPr>
          <m:e>
            <m:sSub>
              <m:e>
                <m:r>
                  <w:rPr>
                    <w:rFonts w:ascii="Cambria Math" w:hAnsi="Cambria Math"/>
                  </w:rPr>
                  <m:t>λ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  <m:r>
              <w:rPr>
                <w:rFonts w:ascii="Cambria Math" w:hAnsi="Cambria Math"/>
              </w:rPr>
              <m:t>, </m:t>
            </m:r>
            <m:sSub>
              <m:e>
                <m:r>
                  <w:rPr>
                    <w:rFonts w:ascii="Cambria Math" w:hAnsi="Cambria Math"/>
                  </w:rPr>
                  <m:t>φ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e>
        </m:d>
        <m:r>
          <w:rPr>
            <w:rFonts w:ascii="Cambria Math" w:hAnsi="Cambria Math"/>
          </w:rPr>
          <m:t> = </m:t>
        </m:r>
        <m:f>
          <m:num>
            <m:nary>
              <m:naryPr>
                <m:chr m:val="∑"/>
              </m:naryPr>
              <m:sub>
                <m:sSub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=1</m:t>
                    </m:r>
                  </m:sub>
                </m:sSub>
              </m:sub>
              <m:sup>
                <m:r>
                  <w:rPr>
                    <w:rFonts w:ascii="Cambria Math" w:hAnsi="Cambria Math"/>
                  </w:rPr>
                  <m:t>N</m:t>
                </m:r>
              </m:sup>
              <m:e>
                <m:sSub>
                  <m:e>
                    <m: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</w:rPr>
                  <m:t> ⋅ </m:t>
                </m:r>
                <m:sSub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e>
            </m:nary>
          </m:num>
          <m:den>
            <m:nary>
              <m:naryPr>
                <m:chr m:val="∑"/>
              </m:naryPr>
              <m:sub>
                <m:sSub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=1</m:t>
                    </m:r>
                  </m:sub>
                </m:sSub>
              </m:sub>
              <m:sup>
                <m:r>
                  <w:rPr>
                    <w:rFonts w:ascii="Cambria Math" w:hAnsi="Cambria Math"/>
                  </w:rPr>
                  <m:t>N</m:t>
                </m:r>
              </m:sup>
              <m:e>
                <m:sSub>
                  <m:e>
                    <m: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e>
            </m:nary>
          </m:den>
        </m:f>
      </m:oMath>
    </w:p>
    <w:p>
      <w:pPr>
        <w:spacing w:before="80" w:after="80"/>
        <w:jc w:val="center"/>
      </w:pPr>
      <m:oMath>
        <m:sSub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 = </m:t>
        </m:r>
        <m:f>
          <m:num>
            <m:r>
              <w:rPr>
                <w:rFonts w:ascii="Cambria Math" w:hAnsi="Cambria Math"/>
              </w:rPr>
              <m:t>1</m:t>
            </m:r>
          </m:num>
          <m:den>
            <m:sSup>
              <m:e>
                <m:r>
                  <w:rPr>
                    <w:rFonts w:ascii="Cambria Math" w:hAnsi="Cambria Math"/>
                  </w:rPr>
                  <m:t>d</m:t>
                </m:r>
                <m:d>
                  <m:dPr>
                    <m:begChr m:val="("/>
                    <m:endChr m:val=")"/>
                  </m:dPr>
                  <m:e>
                    <m:sSub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, </m:t>
                    </m:r>
                    <m:sSub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hAnsi="Cambria Math"/>
                  </w:rPr>
                  <m:t>p</m:t>
                </m:r>
              </m:sup>
            </m:sSup>
          </m:den>
        </m:f>
      </m:oMath>
    </w:p>
    <w:p>
      <w:r>
        <w:t>여기서 d(p₀, pᵢ)는 구면 대원 거리(great-circle distance)로, Haversine 공식으로 계산한다:</w:t>
      </w:r>
    </w:p>
    <w:p>
      <w:pPr>
        <w:spacing w:before="80" w:after="80"/>
        <w:jc w:val="center"/>
      </w:pPr>
      <m:oMath>
        <m:r>
          <w:rPr>
            <w:rFonts w:ascii="Cambria Math" w:hAnsi="Cambria Math"/>
          </w:rPr>
          <m:t>d = 2 </m:t>
        </m:r>
        <m:func>
          <m:fName>
            <m:r>
              <m:rPr>
                <m:sty m:val="p"/>
              </m:rPr>
              <w:rPr>
                <w:rFonts w:ascii="Cambria Math" w:hAnsi="Cambria Math"/>
              </w:rPr>
              <m:t>arcsin</m:t>
            </m:r>
          </m:fName>
          <m:e>
            <m:rad>
              <m:radPr>
                <m:degHide m:val="1"/>
              </m:radPr>
              <m:deg/>
              <m:e>
                <m:sSup>
                  <m:e>
                    <m:func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sin</m:t>
                        </m:r>
                      </m:fName>
                      <m:e>
                        <m:f>
                          <m:num>
                            <m:r>
                              <w:rPr>
                                <w:rFonts w:ascii="Cambria Math" w:hAnsi="Cambria Math"/>
                              </w:rPr>
                              <m:t>Δφ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den>
                        </m:f>
                      </m:e>
                    </m:func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 + </m:t>
                </m:r>
                <m:func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</m:fName>
                  <m:e>
                    <m:sSub>
                      <m:e>
                        <m:r>
                          <w:rPr>
                            <w:rFonts w:ascii="Cambria Math" w:hAnsi="Cambria Math"/>
                          </w:rPr>
                          <m:t>φ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</m:func>
                <m:func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</m:fName>
                  <m:e>
                    <m:sSub>
                      <m:e>
                        <m:r>
                          <w:rPr>
                            <w:rFonts w:ascii="Cambria Math" w:hAnsi="Cambria Math"/>
                          </w:rPr>
                          <m:t>φ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</m:func>
                <m:sSup>
                  <m:e>
                    <m:func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sin</m:t>
                        </m:r>
                      </m:fName>
                      <m:e>
                        <m:f>
                          <m:num>
                            <m:r>
                              <w:rPr>
                                <w:rFonts w:ascii="Cambria Math" w:hAnsi="Cambria Math"/>
                              </w:rPr>
                              <m:t>Δλ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den>
                        </m:f>
                      </m:e>
                    </m:func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e>
            </m:rad>
          </m:e>
        </m:func>
      </m:oMath>
    </w:p>
    <w:p>
      <w:pPr>
        <w:pStyle w:val="Heading2"/>
      </w:pPr>
      <w:r>
        <w:t>4.2 파라미터 선택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701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파라미터</w:t>
            </w:r>
          </w:p>
        </w:tc>
        <w:tc>
          <w:tcPr>
            <w:tcW w:type="dxa" w:w="1701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값</w:t>
            </w:r>
          </w:p>
        </w:tc>
        <w:tc>
          <w:tcPr>
            <w:tcW w:type="dxa" w:w="4535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이유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sz w:val="18"/>
              </w:rPr>
              <w:t>거듭제곱 p</w:t>
            </w:r>
          </w:p>
        </w:tc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sz w:val="18"/>
              </w:rPr>
              <w:t>3.5</w:t>
            </w:r>
          </w:p>
        </w:tc>
        <w:tc>
          <w:tcPr>
            <w:tcW w:type="dxa" w:w="4535"/>
            <w:shd w:fill="D9E2F3" w:val="clear"/>
          </w:tcPr>
          <w:p>
            <w:pPr>
              <w:jc w:val="center"/>
            </w:pPr>
            <w:r>
              <w:rPr>
                <w:sz w:val="18"/>
              </w:rPr>
              <w:t>높은 값 → 날카로운 피크, 데이터 포인트에서 정확한 값 보존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Snap 반경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0.02 rad (~1.1°)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sz w:val="18"/>
              </w:rPr>
              <w:t>데이터 포인트 근처에서 보간 대신 정확값 사용</w:t>
            </w:r>
          </w:p>
        </w:tc>
      </w:tr>
      <w:tr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sz w:val="18"/>
              </w:rPr>
              <w:t>그리드 스텝</w:t>
            </w:r>
          </w:p>
        </w:tc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sz w:val="18"/>
              </w:rPr>
              <w:t>3 px</w:t>
            </w:r>
          </w:p>
        </w:tc>
        <w:tc>
          <w:tcPr>
            <w:tcW w:type="dxa" w:w="4535"/>
            <w:shd w:fill="D9E2F3" w:val="clear"/>
          </w:tcPr>
          <w:p>
            <w:pPr>
              <w:jc w:val="center"/>
            </w:pPr>
            <w:r>
              <w:rPr>
                <w:sz w:val="18"/>
              </w:rPr>
              <w:t>성능과 정밀도의 균형. 이중선형 보간으로 픽셀 해상도 복원</w:t>
            </w:r>
          </w:p>
        </w:tc>
      </w:tr>
    </w:tbl>
    <w:p/>
    <w:p>
      <w:r>
        <w:t>거듭제곱 p의 선택은 시각화 품질에 직접 영향을 미친다:</w:t>
      </w:r>
    </w:p>
    <w:p>
      <w:pPr>
        <w:pStyle w:val="ListBullet"/>
      </w:pPr>
      <w:r>
        <w:rPr>
          <w:b/>
        </w:rPr>
        <w:t xml:space="preserve">p = 2 (표준): </w:t>
      </w:r>
      <w:r>
        <w:t>부드러운 보간이지만 피크가 퍼져서 최대값이 보존되지 않음</w:t>
      </w:r>
    </w:p>
    <w:p>
      <w:pPr>
        <w:pStyle w:val="ListBullet"/>
      </w:pPr>
      <w:r>
        <w:rPr>
          <w:b/>
        </w:rPr>
        <w:t xml:space="preserve">p = 3.5 (본 시스템): </w:t>
      </w:r>
      <w:r>
        <w:t>데이터 포인트 위치에서 원래 값이 거의 정확히 재현되면서도 사이 영역은 자연스럽게 보간</w:t>
      </w:r>
    </w:p>
    <w:p>
      <w:pPr>
        <w:pStyle w:val="Heading2"/>
      </w:pPr>
      <w:r>
        <w:t>4.3 왜 구면 거리인가</w:t>
      </w:r>
    </w:p>
    <w:p>
      <w:r>
        <w:t>Mollweide 맵 좌표 상의 유클리드 거리 대신 구면 대원 거리를 사용하는 이유:</w:t>
      </w:r>
    </w:p>
    <w:p>
      <w:r>
        <w:t>Mollweide 도법은 등적(equal-area)이지만 등거(equidistant)는 아니다. 즉, 맵 상의 직선 거리가 실제 구면 거리와 일치하지 않는다. 유클리드 거리를 사용하면:</w:t>
      </w:r>
    </w:p>
    <w:p>
      <w:pPr>
        <w:pStyle w:val="ListBullet"/>
      </w:pPr>
      <w:r>
        <w:t>극지방 근처에서 가까운 점이 멀게, 먼 점이 가깝게 계산됨</w:t>
      </w:r>
    </w:p>
    <w:p>
      <w:pPr>
        <w:pStyle w:val="ListBullet"/>
      </w:pPr>
      <w:r>
        <w:t>경도 ±180° 경계에서 불연속 발생</w:t>
      </w:r>
    </w:p>
    <w:p>
      <w:pPr>
        <w:pStyle w:val="ListBullet"/>
      </w:pPr>
      <w:r>
        <w:t>보간 결과에 투영 왜곡이 그대로 반영</w:t>
      </w:r>
    </w:p>
    <w:p>
      <w:r>
        <w:t>구면 거리를 사용하면 투영 방식에 무관하게 물리적으로 정확한 보간이 이루어진다.</w:t>
      </w:r>
    </w:p>
    <w:p>
      <w:pPr>
        <w:pStyle w:val="Heading1"/>
      </w:pPr>
      <w:r>
        <w:t>5. 충격 방향 매핑</w:t>
      </w:r>
    </w:p>
    <w:p>
      <w:pPr>
        <w:pStyle w:val="Heading2"/>
      </w:pPr>
      <w:r>
        <w:t>5.1 3D 방향 벡터 → (경도, 위도)</w:t>
      </w:r>
    </w:p>
    <w:p>
      <w:r>
        <w:t>충격 방향 벡터 d = (dₓ, dᵧ, d_z)를 몰바이데 맵 좌표로 변환:</w:t>
      </w:r>
    </w:p>
    <w:p>
      <w:pPr>
        <w:spacing w:before="80" w:after="80"/>
        <w:jc w:val="center"/>
      </w:pPr>
      <m:oMath>
        <m:r>
          <w:rPr>
            <w:rFonts w:ascii="Cambria Math" w:hAnsi="Cambria Math"/>
          </w:rPr>
          <m:t>λ = </m:t>
        </m:r>
        <m:func>
          <m:fName>
            <m:r>
              <m:rPr>
                <m:sty m:val="p"/>
              </m:rPr>
              <w:rPr>
                <w:rFonts w:ascii="Cambria Math" w:hAnsi="Cambria Math"/>
              </w:rPr>
              <m:t>atan2</m:t>
            </m:r>
          </m:fName>
          <m:e>
            <m:d>
              <m:dPr>
                <m:begChr m:val="("/>
                <m:endChr m:val=")"/>
              </m:dPr>
              <m:e>
                <m:sSub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x</m:t>
                    </m:r>
                  </m:sub>
                </m:sSub>
                <m:r>
                  <w:rPr>
                    <w:rFonts w:ascii="Cambria Math" w:hAnsi="Cambria Math"/>
                  </w:rPr>
                  <m:t>, −</m:t>
                </m:r>
                <m:sSub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z</m:t>
                    </m:r>
                  </m:sub>
                </m:sSub>
              </m:e>
            </m:d>
          </m:e>
        </m:func>
      </m:oMath>
    </w:p>
    <w:p>
      <w:pPr>
        <w:spacing w:before="80" w:after="80"/>
        <w:jc w:val="center"/>
      </w:pPr>
      <m:oMath>
        <m:r>
          <w:rPr>
            <w:rFonts w:ascii="Cambria Math" w:hAnsi="Cambria Math"/>
          </w:rPr>
          <m:t>φ = </m:t>
        </m:r>
        <m:func>
          <m:fName>
            <m:r>
              <m:rPr>
                <m:sty m:val="p"/>
              </m:rPr>
              <w:rPr>
                <w:rFonts w:ascii="Cambria Math" w:hAnsi="Cambria Math"/>
              </w:rPr>
              <m:t>arcsin</m:t>
            </m:r>
          </m:fName>
          <m:e>
            <m:d>
              <m:dPr>
                <m:begChr m:val="("/>
                <m:endChr m:val=")"/>
              </m:dPr>
              <m:e>
                <m:sSub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y</m:t>
                    </m:r>
                  </m:sub>
                </m:sSub>
              </m:e>
            </m:d>
          </m:e>
        </m:func>
      </m:oMath>
    </w:p>
    <w:p>
      <w:r>
        <w:rPr>
          <w:b/>
        </w:rPr>
        <w:t>좌표 컨벤션: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984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맵 좌표</w:t>
            </w:r>
          </w:p>
        </w:tc>
        <w:tc>
          <w:tcPr>
            <w:tcW w:type="dxa" w:w="1701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물리적 방향</w:t>
            </w:r>
          </w:p>
        </w:tc>
        <w:tc>
          <w:tcPr>
            <w:tcW w:type="dxa" w:w="2268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1984"/>
            <w:shd w:fill="D9E2F3" w:val="clear"/>
          </w:tcPr>
          <w:p>
            <w:pPr>
              <w:jc w:val="center"/>
            </w:pPr>
            <w:r>
              <w:rPr>
                <w:sz w:val="18"/>
              </w:rPr>
              <w:t>중심 (0°, 0°)</w:t>
            </w:r>
          </w:p>
        </w:tc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sz w:val="18"/>
              </w:rPr>
              <w:t>Back (−Z)</w:t>
            </w:r>
          </w:p>
        </w:tc>
        <w:tc>
          <w:tcPr>
            <w:tcW w:type="dxa" w:w="2268"/>
            <w:shd w:fill="D9E2F3" w:val="clear"/>
          </w:tcPr>
          <w:p>
            <w:pPr>
              <w:jc w:val="center"/>
            </w:pPr>
            <w:r>
              <w:rPr>
                <w:sz w:val="18"/>
              </w:rPr>
              <w:t>맵 중심 = 뒷면 충격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sz w:val="18"/>
              </w:rPr>
              <w:t>동쪽 (+90°)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Right (+X)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18"/>
              </w:rPr>
              <w:t>오른쪽 충격</w:t>
            </w:r>
          </w:p>
        </w:tc>
      </w:tr>
      <w:tr>
        <w:tc>
          <w:tcPr>
            <w:tcW w:type="dxa" w:w="1984"/>
            <w:shd w:fill="D9E2F3" w:val="clear"/>
          </w:tcPr>
          <w:p>
            <w:pPr>
              <w:jc w:val="center"/>
            </w:pPr>
            <w:r>
              <w:rPr>
                <w:sz w:val="18"/>
              </w:rPr>
              <w:t>서쪽 (−90°)</w:t>
            </w:r>
          </w:p>
        </w:tc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sz w:val="18"/>
              </w:rPr>
              <w:t>Left (−X)</w:t>
            </w:r>
          </w:p>
        </w:tc>
        <w:tc>
          <w:tcPr>
            <w:tcW w:type="dxa" w:w="2268"/>
            <w:shd w:fill="D9E2F3" w:val="clear"/>
          </w:tcPr>
          <w:p>
            <w:pPr>
              <w:jc w:val="center"/>
            </w:pPr>
            <w:r>
              <w:rPr>
                <w:sz w:val="18"/>
              </w:rPr>
              <w:t>왼쪽 충격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sz w:val="18"/>
              </w:rPr>
              <w:t>북극 (+90°)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Top (+Y)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18"/>
              </w:rPr>
              <w:t>상면 충격</w:t>
            </w:r>
          </w:p>
        </w:tc>
      </w:tr>
      <w:tr>
        <w:tc>
          <w:tcPr>
            <w:tcW w:type="dxa" w:w="1984"/>
            <w:shd w:fill="D9E2F3" w:val="clear"/>
          </w:tcPr>
          <w:p>
            <w:pPr>
              <w:jc w:val="center"/>
            </w:pPr>
            <w:r>
              <w:rPr>
                <w:sz w:val="18"/>
              </w:rPr>
              <w:t>남극 (−90°)</w:t>
            </w:r>
          </w:p>
        </w:tc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sz w:val="18"/>
              </w:rPr>
              <w:t>Bottom (−Y)</w:t>
            </w:r>
          </w:p>
        </w:tc>
        <w:tc>
          <w:tcPr>
            <w:tcW w:type="dxa" w:w="2268"/>
            <w:shd w:fill="D9E2F3" w:val="clear"/>
          </w:tcPr>
          <w:p>
            <w:pPr>
              <w:jc w:val="center"/>
            </w:pPr>
            <w:r>
              <w:rPr>
                <w:sz w:val="18"/>
              </w:rPr>
              <w:t>하면 충격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sz w:val="18"/>
              </w:rPr>
              <w:t>±180°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Front (+Z)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18"/>
              </w:rPr>
              <w:t>전면 충격</w:t>
            </w:r>
          </w:p>
        </w:tc>
      </w:tr>
    </w:tbl>
    <w:p>
      <w:pPr>
        <w:pStyle w:val="Heading2"/>
      </w:pPr>
      <w:r>
        <w:t>5.2 Euler 각도에서의 변환</w:t>
      </w:r>
    </w:p>
    <w:p>
      <w:r>
        <w:t>시뮬레이션에서 충격 방향은 Euler 각도 (roll, pitch, yaw)로 정의된다. 초기 충격 벡터 [0, 0, −1]에 회전 행렬을 적용하여 전개하면:</w:t>
      </w:r>
    </w:p>
    <w:p>
      <w:pPr>
        <w:spacing w:before="80" w:after="80"/>
        <w:jc w:val="center"/>
      </w:pPr>
      <m:oMath>
        <m:sSub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r>
          <w:rPr>
            <w:rFonts w:ascii="Cambria Math" w:hAnsi="Cambria Math"/>
          </w:rPr>
          <m:t> = −</m:t>
        </m:r>
        <m:func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d>
              <m:dPr>
                <m:begChr m:val="("/>
                <m:endChr m:val=")"/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pitch</m:t>
                </m:r>
              </m:e>
            </m:d>
          </m:e>
        </m:func>
      </m:oMath>
    </w:p>
    <w:p>
      <w:pPr>
        <w:spacing w:before="80" w:after="80"/>
        <w:jc w:val="center"/>
      </w:pPr>
      <m:oMath>
        <m:sSub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  <m:r>
          <w:rPr>
            <w:rFonts w:ascii="Cambria Math" w:hAnsi="Cambria Math"/>
          </w:rPr>
          <m:t> = </m:t>
        </m:r>
        <m:func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d>
              <m:dPr>
                <m:begChr m:val="("/>
                <m:endChr m:val=")"/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roll</m:t>
                </m:r>
              </m:e>
            </m:d>
          </m:e>
        </m:func>
        <m:func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d>
              <m:dPr>
                <m:begChr m:val="("/>
                <m:endChr m:val=")"/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pitch</m:t>
                </m:r>
              </m:e>
            </m:d>
          </m:e>
        </m:func>
      </m:oMath>
    </w:p>
    <w:p>
      <w:pPr>
        <w:spacing w:before="80" w:after="80"/>
        <w:jc w:val="center"/>
      </w:pPr>
      <m:oMath>
        <m:sSub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z</m:t>
            </m:r>
          </m:sub>
        </m:sSub>
        <m:r>
          <w:rPr>
            <w:rFonts w:ascii="Cambria Math" w:hAnsi="Cambria Math"/>
          </w:rPr>
          <m:t> = −</m:t>
        </m:r>
        <m:func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d>
              <m:dPr>
                <m:begChr m:val="("/>
                <m:endChr m:val=")"/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roll</m:t>
                </m:r>
              </m:e>
            </m:d>
          </m:e>
        </m:func>
        <m:func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d>
              <m:dPr>
                <m:begChr m:val="("/>
                <m:endChr m:val=")"/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pitch</m:t>
                </m:r>
              </m:e>
            </m:d>
          </m:e>
        </m:func>
      </m:oMath>
    </w:p>
    <w:p>
      <w:pPr>
        <w:pStyle w:val="Heading1"/>
      </w:pPr>
      <w:r>
        <w:t>6. 분석 파이프라인 요약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417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1984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입력</w:t>
            </w:r>
          </w:p>
        </w:tc>
        <w:tc>
          <w:tcPr>
            <w:tcW w:type="dxa" w:w="1984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출력</w:t>
            </w:r>
          </w:p>
        </w:tc>
        <w:tc>
          <w:tcPr>
            <w:tcW w:type="dxa" w:w="2268"/>
            <w:shd w:fill="2B579A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핵심 알고리즘</w:t>
            </w:r>
          </w:p>
        </w:tc>
      </w:tr>
      <w:tr>
        <w:tc>
          <w:tcPr>
            <w:tcW w:type="dxa" w:w="1417"/>
            <w:shd w:fill="D9E2F3" w:val="clear"/>
          </w:tcPr>
          <w:p>
            <w:pPr>
              <w:jc w:val="center"/>
            </w:pPr>
            <w:r>
              <w:rPr>
                <w:sz w:val="18"/>
              </w:rPr>
              <w:t>1. 방향 생성</w:t>
            </w:r>
          </w:p>
        </w:tc>
        <w:tc>
          <w:tcPr>
            <w:tcW w:type="dxa" w:w="1984"/>
            <w:shd w:fill="D9E2F3" w:val="clear"/>
          </w:tcPr>
          <w:p>
            <w:pPr>
              <w:jc w:val="center"/>
            </w:pPr>
            <w:r>
              <w:rPr>
                <w:sz w:val="18"/>
              </w:rPr>
              <w:t>N (샘플 수)</w:t>
            </w:r>
          </w:p>
        </w:tc>
        <w:tc>
          <w:tcPr>
            <w:tcW w:type="dxa" w:w="1984"/>
            <w:shd w:fill="D9E2F3" w:val="clear"/>
          </w:tcPr>
          <w:p>
            <w:pPr>
              <w:jc w:val="center"/>
            </w:pPr>
            <w:r>
              <w:rPr>
                <w:sz w:val="18"/>
              </w:rPr>
              <w:t>N개 (θ, φ) 좌표</w:t>
            </w:r>
          </w:p>
        </w:tc>
        <w:tc>
          <w:tcPr>
            <w:tcW w:type="dxa" w:w="2268"/>
            <w:shd w:fill="D9E2F3" w:val="clear"/>
          </w:tcPr>
          <w:p>
            <w:pPr>
              <w:jc w:val="center"/>
            </w:pPr>
            <w:r>
              <w:rPr>
                <w:sz w:val="18"/>
              </w:rPr>
              <w:t>Fibonacci lattice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2. 시뮬레이션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sz w:val="18"/>
              </w:rPr>
              <w:t>방향별 d3plot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sz w:val="18"/>
              </w:rPr>
              <w:t>응력/변형률/가속도 시계열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18"/>
              </w:rPr>
              <w:t>LS-DYNA explicit solver</w:t>
            </w:r>
          </w:p>
        </w:tc>
      </w:tr>
      <w:tr>
        <w:tc>
          <w:tcPr>
            <w:tcW w:type="dxa" w:w="1417"/>
            <w:shd w:fill="D9E2F3" w:val="clear"/>
          </w:tcPr>
          <w:p>
            <w:pPr>
              <w:jc w:val="center"/>
            </w:pPr>
            <w:r>
              <w:rPr>
                <w:sz w:val="18"/>
              </w:rPr>
              <w:t>3. 후처리</w:t>
            </w:r>
          </w:p>
        </w:tc>
        <w:tc>
          <w:tcPr>
            <w:tcW w:type="dxa" w:w="1984"/>
            <w:shd w:fill="D9E2F3" w:val="clear"/>
          </w:tcPr>
          <w:p>
            <w:pPr>
              <w:jc w:val="center"/>
            </w:pPr>
            <w:r>
              <w:rPr>
                <w:sz w:val="18"/>
              </w:rPr>
              <w:t>analysis_result.json</w:t>
            </w:r>
          </w:p>
        </w:tc>
        <w:tc>
          <w:tcPr>
            <w:tcW w:type="dxa" w:w="1984"/>
            <w:shd w:fill="D9E2F3" w:val="clear"/>
          </w:tcPr>
          <w:p>
            <w:pPr>
              <w:jc w:val="center"/>
            </w:pPr>
            <w:r>
              <w:rPr>
                <w:sz w:val="18"/>
              </w:rPr>
              <w:t>부품별 피크값</w:t>
            </w:r>
          </w:p>
        </w:tc>
        <w:tc>
          <w:tcPr>
            <w:tcW w:type="dxa" w:w="2268"/>
            <w:shd w:fill="D9E2F3" w:val="clear"/>
          </w:tcPr>
          <w:p>
            <w:pPr>
              <w:jc w:val="center"/>
            </w:pPr>
            <w:r>
              <w:rPr>
                <w:sz w:val="18"/>
              </w:rPr>
              <w:t>Unified Analyzer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4. 좌표 변환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sz w:val="18"/>
              </w:rPr>
              <w:t>Euler (roll, pitch, yaw)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sz w:val="18"/>
              </w:rPr>
              <w:t>(경도, 위도)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18"/>
              </w:rPr>
              <w:t>Rotation matrix → atan2/arcsin</w:t>
            </w:r>
          </w:p>
        </w:tc>
      </w:tr>
      <w:tr>
        <w:tc>
          <w:tcPr>
            <w:tcW w:type="dxa" w:w="1417"/>
            <w:shd w:fill="D9E2F3" w:val="clear"/>
          </w:tcPr>
          <w:p>
            <w:pPr>
              <w:jc w:val="center"/>
            </w:pPr>
            <w:r>
              <w:rPr>
                <w:sz w:val="18"/>
              </w:rPr>
              <w:t>5. 투영</w:t>
            </w:r>
          </w:p>
        </w:tc>
        <w:tc>
          <w:tcPr>
            <w:tcW w:type="dxa" w:w="1984"/>
            <w:shd w:fill="D9E2F3" w:val="clear"/>
          </w:tcPr>
          <w:p>
            <w:pPr>
              <w:jc w:val="center"/>
            </w:pPr>
            <w:r>
              <w:rPr>
                <w:sz w:val="18"/>
              </w:rPr>
              <w:t>(경도, 위도, 값)</w:t>
            </w:r>
          </w:p>
        </w:tc>
        <w:tc>
          <w:tcPr>
            <w:tcW w:type="dxa" w:w="1984"/>
            <w:shd w:fill="D9E2F3" w:val="clear"/>
          </w:tcPr>
          <w:p>
            <w:pPr>
              <w:jc w:val="center"/>
            </w:pPr>
            <w:r>
              <w:rPr>
                <w:sz w:val="18"/>
              </w:rPr>
              <w:t>Mollweide (x, y, 색상)</w:t>
            </w:r>
          </w:p>
        </w:tc>
        <w:tc>
          <w:tcPr>
            <w:tcW w:type="dxa" w:w="2268"/>
            <w:shd w:fill="D9E2F3" w:val="clear"/>
          </w:tcPr>
          <w:p>
            <w:pPr>
              <w:jc w:val="center"/>
            </w:pPr>
            <w:r>
              <w:rPr>
                <w:sz w:val="18"/>
              </w:rPr>
              <w:t>Equal-area projection + IDW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6. 시각화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sz w:val="18"/>
              </w:rPr>
              <w:t>Mollweide contour map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sz w:val="18"/>
              </w:rPr>
              <w:t>HTML 리포트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18"/>
              </w:rPr>
              <w:t>Canvas + SVG overlay</w:t>
            </w:r>
          </w:p>
        </w:tc>
      </w:tr>
    </w:tbl>
    <w:p>
      <w:pPr>
        <w:pStyle w:val="Heading1"/>
      </w:pPr>
      <w:r>
        <w:t>7. 결론</w:t>
      </w:r>
    </w:p>
    <w:p>
      <w:r>
        <w:t>Fibonacci lattice sampling과 Mollweide equal-area projection의 조합은 전각도 낙하 시뮬레이션 분석에 다음과 같은 이점을 제공한다:</w:t>
      </w:r>
    </w:p>
    <w:p>
      <w:pPr>
        <w:pStyle w:val="ListNumber"/>
      </w:pPr>
      <w:r>
        <w:rPr>
          <w:b/>
        </w:rPr>
        <w:t xml:space="preserve">균일 샘플링: </w:t>
      </w:r>
      <w:r>
        <w:t>구 위의 모든 방향을 편향 없이 평가하여 최악 방향을 놓치지 않음</w:t>
      </w:r>
    </w:p>
    <w:p>
      <w:pPr>
        <w:pStyle w:val="ListNumber"/>
      </w:pPr>
      <w:r>
        <w:rPr>
          <w:b/>
        </w:rPr>
        <w:t xml:space="preserve">확장 가능성: </w:t>
      </w:r>
      <w:r>
        <w:t>26개(cuboid) → 100개 → 1,000개로 점진적으로 해상도를 높일 수 있음</w:t>
      </w:r>
    </w:p>
    <w:p>
      <w:pPr>
        <w:pStyle w:val="ListNumber"/>
      </w:pPr>
      <w:r>
        <w:rPr>
          <w:b/>
        </w:rPr>
        <w:t xml:space="preserve">등적 시각화: </w:t>
      </w:r>
      <w:r>
        <w:t>맵에서 위험 영역의 넓이가 실제 입체각에 비례하여 정량적 해석 가능</w:t>
      </w:r>
    </w:p>
    <w:p>
      <w:pPr>
        <w:pStyle w:val="ListNumber"/>
      </w:pPr>
      <w:r>
        <w:rPr>
          <w:b/>
        </w:rPr>
        <w:t xml:space="preserve">투영 무관 보간: </w:t>
      </w:r>
      <w:r>
        <w:t>구면 대원 거리 기반 IDW가 투영 왜곡을 완전히 회피</w:t>
      </w:r>
    </w:p>
    <w:p>
      <w:pPr>
        <w:pStyle w:val="ListNumber"/>
      </w:pPr>
      <w:r>
        <w:rPr>
          <w:b/>
        </w:rPr>
        <w:t xml:space="preserve">산업 적용성: </w:t>
      </w:r>
      <w:r>
        <w:t>기존 26방향 규격과 호환되면서도, 제품 형상 의존적 취약 방향을 추가로 탐지</w:t>
      </w:r>
    </w:p>
    <w:p>
      <w:pPr>
        <w:pStyle w:val="Heading1"/>
      </w:pPr>
      <w:r>
        <w:t>참고 문헌</w:t>
      </w:r>
    </w:p>
    <w:p>
      <w:pPr>
        <w:spacing w:after="60"/>
        <w:ind w:left="567" w:hanging="567"/>
      </w:pPr>
      <w:r>
        <w:rPr>
          <w:sz w:val="18"/>
        </w:rPr>
        <w:t>[1] González, Á. (2010). "Measurement of areas on a sphere using Fibonacci and latitude–longitude lattices." Mathematical Geosciences, 42(1), 49–64.</w:t>
      </w:r>
    </w:p>
    <w:p>
      <w:pPr>
        <w:spacing w:after="60"/>
        <w:ind w:left="567" w:hanging="567"/>
      </w:pPr>
      <w:r>
        <w:rPr>
          <w:sz w:val="18"/>
        </w:rPr>
        <w:t>[2] Swinbank, R., &amp; Purser, R. J. (2006). "Fibonacci grids: A novel approach to global modelling." Quarterly Journal of the Royal Meteorological Society, 132(619), 1769–1793.</w:t>
      </w:r>
    </w:p>
    <w:p>
      <w:pPr>
        <w:spacing w:after="60"/>
        <w:ind w:left="567" w:hanging="567"/>
      </w:pPr>
      <w:r>
        <w:rPr>
          <w:sz w:val="18"/>
        </w:rPr>
        <w:t>[3] Snyder, J. P. (1987). Map Projections — A Working Manual. U.S. Geological Survey Professional Paper 1395. (Mollweide projection: pp. 249–252)</w:t>
      </w:r>
    </w:p>
    <w:p>
      <w:pPr>
        <w:spacing w:after="60"/>
        <w:ind w:left="567" w:hanging="567"/>
      </w:pPr>
      <w:r>
        <w:rPr>
          <w:sz w:val="18"/>
        </w:rPr>
        <w:t>[4] Shepard, D. (1968). "A two-dimensional interpolation function for irregularly-spaced data." Proceedings of the 1968 ACM National Conference, 517–524.</w:t>
      </w:r>
    </w:p>
    <w:p>
      <w:pPr>
        <w:spacing w:after="60"/>
        <w:ind w:left="567" w:hanging="567"/>
      </w:pPr>
      <w:r>
        <w:rPr>
          <w:sz w:val="18"/>
        </w:rPr>
        <w:t>[5] IEC 60068-2-31:2008. Environmental testing — Part 2-31: Tests — Test Ec: Rough handling shocks, primarily for equipment-type specimens.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B6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B6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B6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