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1,247종 · 물성값 28,820건 · 출처 2,378건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14,141칸 중 12,377칸이 채워졌다 — 전체 87.5%.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77.0% vs 준비 49.8%).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1408/1581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(84.6%)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2303/2635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81종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1872/2108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736/828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(83.1%)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1836/2108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339/414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477/527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  (90.5%)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580/753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3,807칸이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90.5% · 산소확산-매트릭스 90.0% · 결로(투습) 87.4% · 열전달·방열 85.6% · 구조·강성 84.6% · 결로(표면) 84.1% · 열응력·워피지 83.9% · 폴더블 벤딩 83.1% · 낙하·충격 79.7% · 접착·박리 69.6%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1408/1581  (89.1%)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2303/2635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1391/1581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(39.5%)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1872/2108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736/828  (88.9%)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(83.1%)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1836/2108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1300/1464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(29.5%)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339/414  (81.9%)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477/527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477종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410종  (77.8%)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580/753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1247종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108.3%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106.6%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12,136건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16,401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1,882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6,042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79.7%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85.6%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83.1%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