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20,897건 · 출처 2,095건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14,022칸이 채워졌다 — 전체 96.9%.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84.2% vs 준비 52.5%).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2561/2720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94.2%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437  (80.3%)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718/740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  (88.1%)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1610/1668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359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104  (52.5%)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5,315칸이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구조·강성 99.8% · 열전달·방열 99.8% · 열응력·워피지 99.8% · 전기·EMI 97.8% · 산소확산-매트릭스 97.5% · 초탄성(실링·완충) 95.7% · 결로(표면) 89.2% · 폴더블 벤딩 88.1% · 결로(투습) 86.1% · 낙하·충격 80.3% · 접착·박리 76.2% · 피로·수명 52.5%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2561/2720  (94.2%)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437종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718/740  (97.0%)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163종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34종  (18.4%)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1610/1668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359종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532/544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398종  (73.2%)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500/594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104종  (52.5%)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9,664건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9,896건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4,606건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30.0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5,333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4,315건은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80.3%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52.5%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