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1,820종 · 물성값 32,201건 · 출처 2,568건 · 물성 정의 225종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16,109칸 중 12,700칸이 채워졌다 — 전체 78.8%.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69.0% vs 준비 43.3%).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1456/1803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2364/3005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1420/1803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1949/2404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1866/2404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498/601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498  (82.9%)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598/867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산소확산-매트릭스 84.9% · 전기·EMI 82.9% · 열전달·방열 75.4% · 결로(투습) 75.2% · 폴더블 벤딩 74.8% · 구조·강성 74.2% · 결로(표면) 73.5% · 열응력·워피지 73.4% · 낙하·충격 69.9% · 산소소광-발광체 66.7% · 접착·박리 62.6%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43.3%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1456/1803  (80.8%)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2364/3005  (78.7%)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1420/1803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(36.1%)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1949/2404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746/920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1866/2404  (77.6%)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1319/1696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349/460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498/601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498종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431종  (71.7%)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289종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598/867  (69.0%)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225종 전부에 값이 하나 이상 있다(개통률 100%). 아래는 재료 1820종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134.8%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94.0%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79.4%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321건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계장화 압입경도 H_IT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잔류응력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비마모율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15,413건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13,256건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8,687건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18,865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2,565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6,276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75.4%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73.5%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