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1,872종 · 물성값 32,327건 · 출처 2,582건 · 물성 정의 225종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16,109칸 중 12,700칸이 채워졌다 — 전체 78.8%.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69.0% vs 준비 43.3%).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1456/1803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2364/3005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1420/1803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1949/2404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1866/2404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498/601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498  (82.9%)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598/867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산소확산-매트릭스 84.9% · 전기·EMI 82.9% · 열전달·방열 75.4% · 결로(투습) 75.2% · 폴더블 벤딩 74.8% · 구조·강성 74.2% · 결로(표면) 73.5% · 열응력·워피지 73.4% · 낙하·충격 69.9% · 산소소광-발광체 66.7% · 접착·박리 62.6%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43.3%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1456/1803  (80.8%)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2364/3005  (78.7%)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1420/1803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(36.1%)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1949/2404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746/920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1866/2404  (77.6%)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1319/1696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349/460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498/601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498종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431종  (71.7%)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598/867  (69.0%)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225종 전부에 값이 하나 이상 있다(개통률 100%). 아래는 재료 1872종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134.8%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94.0%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계장화 압입경도 H_IT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잔류응력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비마모율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15,413건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13,256건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8,687건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18,984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2,572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6,276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13.9%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75.4%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73.5%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