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1,369종 · 물성값 29,984건 · 출처 2,415건 · 물성 정의 197종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14,998칸 중 12,549칸이 채워졌다 — 전체 83.7%.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73.6% vs 준비 47.2%).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1429/1674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2332/2790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(75.3%)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1407/1674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1912/2232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(79.0%)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744/884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1853/2232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1311/1572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492/558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  (88.2%)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585/795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88.2% · 산소확산-매트릭스 84.9% · 결로(투습) 81.2% · 열전달·방열 81.0% · 구조·강성 79.9% · 결로(표면) 79.2% · 열응력·워피지 79.0% · 폴더블 벤딩 77.8% · 낙하·충격 75.3% · 접착·박리 65.2%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1429/1674  (85.4%)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(33.9%)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2332/2790  (83.6%)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1407/1674  (84.1%)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1912/2232  (85.7%)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(31.9%)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744/884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1853/2232  (83.0%)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393종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1311/1572  (83.4%)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349/442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492/558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492종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425종  (76.2%)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585/795  (73.6%)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197종 전부에 값이 하나 이상 있다(개통률 100%). 아래는 재료 1369종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133.3%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126.3%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101.4%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81.2%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샤르피 충격강도(면적)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14,842건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5,055건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17,271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75.3%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81.0%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