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2026-08-06 · 재료 544종 · 물성값 14,798건 · 출처 1,718건 · 물성 정의 157종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12개 해석이 요구하는 (재료 × 필수물성) 격자 14,540칸 중 8,416칸이 채워졌다 — 전체 57.9%.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낙하가 정확히 그 경우다(셀 53.6% vs 준비 5.0%).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1156/1632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70.8%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329  (60.5%)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youngs_modulus — 206종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1476/2720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54.3%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44  (8.1%)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cowper_symonds_c | cowper_symonds_p | dy — 499종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1045/1632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64.0%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281  (51.7%)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conductivity — 219종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1486/2176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68.3%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304  (55.9%)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expansion_linear — 214종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464/740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62.7%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20  (10.8%)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prony_relaxation_time | prony_tensile_mo — 153종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1094/2176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50.3%  ███████·······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43  (7.9%)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contact_angle_water | surface_energy — 495종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420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830/1680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49.4%  ███████·······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108  (25.7%)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water_vapor_transmission | gas_permeabil — 271종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65/92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70.7%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25  (54.3%)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hyperelastic_coefficient | hyperelastic_ — 21종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226/370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61.1%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60  (32.4%)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peel_strength | lap_shear_strength | die — 104종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158/544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29.0%  ████··········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158  (29.0%)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dielectric_constant | volume_resistivity — 386종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375/594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63.1%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  (9.1%)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fatigue_strength_coefficient | fatigue_d — 180종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산소 소광(적색발광)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92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41/184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22.3%  ███···········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0  (0.0%)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gas_permeability_o2 | gas_solubility — 90종</w:t>
            </w:r>
          </w:p>
        </w:tc>
      </w:tr>
    </w:tbl>
    <w:p/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구조·강성 60.8% · 열응력 56.2% · 초탄성 54.3% · 열전달 51.0%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접착·박리 32.4% · 전기·EMI 27.4% · 결로(투습) 25.7%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결로(표면) 7.6% · 폴더블 벤딩 5.4% · 낙하 5.0% · 피로 1.0% · 산소소광 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다섯이 이 카탈로그의 실제 병목이다. 기본 물성(밀도·영률·포아송·k·cp·CTE)은 57~79%까지 왔는데, 율속·점탄성·젖음성·피로계수·광물리처럼 그 해석의 정체성을 이루는 물성은 한 자릿수에 머문다.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1156/1632  (70.8%)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329종  (60.5%)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1476/2720  (54.3%)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44종  (8.1%)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1045/1632  (64.0%)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281종  (51.7%)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1486/2176  (68.3%)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304종  (55.9%)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464/740  (62.7%)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20종  (10.8%)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1094/2176  (50.3%)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43종  (7.9%)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420종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830/1680  (49.4%)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108종  (25.7%)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65/92  (70.7%)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25종  (54.3%)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226/370  (61.1%)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60종  (32.4%)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158/544  (29.0%)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158종  (29.0%)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volume_resistivity | loss_tangent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386종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375/594  (63.1%)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18종  (9.1%)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18종</w:t>
            </w:r>
          </w:p>
        </w:tc>
      </w:tr>
    </w:tbl>
    <w:p/>
    <w:p>
      <w:pPr>
        <w:pStyle w:val="Heading2"/>
      </w:pPr>
      <w:r>
        <w:t>3.12  산소 소광(적색발광)</w:t>
      </w:r>
    </w:p>
    <w:p>
      <w:pPr>
        <w:spacing w:after="40"/>
      </w:pPr>
      <w:r>
        <w:rPr>
          <w:b w:val="0"/>
          <w:sz w:val="19"/>
        </w:rPr>
        <w:t>산소 확산 × Stern-Volmer 소광. 신규 개통 영역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92종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41/184  (22.3%)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0종  (0.0%)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157종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72.2%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1011건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포화수분흡수율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20.8%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층 두께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18.2%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17.1%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겔타임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기체 용해도(헨리)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3,218건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1,325건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1,230건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734건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6,273건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2,672건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33.4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3,501건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1,464건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33.3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13.7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9,114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61.6%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1,949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2,102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14.2%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2,014건은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804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483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괄호 안은 그 물성 하나가 막고 있는 재료 수.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 준비율 5.0% — 514종이 율속 경로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 51%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벤딩 준비율 5.4% — 175종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7.6% — 500종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 준비율 1.0%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 소광 0% — 신규 영역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별도 문서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