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1,231종 · 물성값 28,645건 · 출처 2,371건 · 물성 정의 192종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14,063칸 중 12,401칸이 채워졌다 — 전체 88.2%.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76.8% vs 준비 49.0%).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1415/1572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2310/2620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1879/2096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449  (85.7%)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1836/2096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338/412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477/524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  (91.0%)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47종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578/753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123  (49.0%)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91.0% · 산소확산-매트릭스 90.0% · 결로(투습) 88.2% · 구조·강성 86.5% · 열전달·방열 86.1% · 열응력·워피지 85.7% · 폴더블 벤딩 85.4% · 결로(표면) 84.5% · 낙하·충격 81.5% · 접착·박리 69.9%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1415/1572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179종  (34.2%)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2310/2620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1391/1572  (88.5%)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1879/2096  (89.6%)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449종  (85.7%)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742/824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(19.9%)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1836/2096  (87.6%)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1300/1452  (89.5%)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338/412  (82.0%)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477/524  (91.0%)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477종  (91.0%)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410종  (78.2%)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578/753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123종  (49.0%)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(29.1%)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192종 전부에 값이 하나 이상 있다(개통률 100%). 아래는 재료 1231종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129.4%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110.3%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107.3%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CTE 다항식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12,027건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16,273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4,410건은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86.1%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