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</w:p>
    <w:tbl>
      <w:tblPr>
        <w:tblW w:w="18675" w:type="dxa"/>
        <w:jc w:val="left"/>
        <w:tblInd w:w="21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17595"/>
      </w:tblGrid>
      <w:tr>
        <w:tblPrEx>
          <w:shd w:val="clear" w:color="auto" w:fill="ced7e7"/>
        </w:tblPrEx>
        <w:trPr>
          <w:trHeight w:val="1173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Notes</w:t>
            </w:r>
          </w:p>
        </w:tc>
        <w:tc>
          <w:tcPr>
            <w:tcW w:type="dxa" w:w="17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200" w:line="240" w:lineRule="auto"/>
              <w:rPr/>
            </w:pPr>
            <w:r>
              <w:rPr>
                <w:rtl w:val="0"/>
                <w:lang w:val="en-US"/>
              </w:rPr>
              <w:t>Empty cells imply identical content for locale.</w:t>
            </w:r>
          </w:p>
          <w:p>
            <w:pPr>
              <w:pStyle w:val="Body A"/>
              <w:widowControl w:val="0"/>
              <w:bidi w:val="0"/>
              <w:spacing w:after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English-language locales are bundled together due to highest concentration of common strings.</w:t>
            </w:r>
          </w:p>
          <w:p>
            <w:pPr>
              <w:pStyle w:val="Body A"/>
              <w:widowControl w:val="0"/>
              <w:bidi w:val="0"/>
              <w:spacing w:after="2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Inline links are indicated by wrapping in brackets: [linked text][https://squareup.com/thing]. If link is not localized, omit link bracket in other locales.</w:t>
            </w:r>
          </w:p>
        </w:tc>
      </w:tr>
    </w:tbl>
    <w:p>
      <w:pPr>
        <w:pStyle w:val="Body A"/>
        <w:widowControl w:val="0"/>
        <w:spacing w:line="240" w:lineRule="auto"/>
        <w:ind w:left="2083" w:hanging="2083"/>
      </w:pPr>
    </w:p>
    <w:p>
      <w:pPr>
        <w:pStyle w:val="Body A"/>
        <w:widowControl w:val="0"/>
        <w:spacing w:line="240" w:lineRule="auto"/>
        <w:ind w:left="1975" w:hanging="1975"/>
      </w:pPr>
    </w:p>
    <w:p>
      <w:pPr>
        <w:pStyle w:val="Body A"/>
        <w:widowControl w:val="0"/>
        <w:spacing w:line="240" w:lineRule="auto"/>
        <w:ind w:left="1868" w:hanging="1868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tbl>
      <w:tblPr>
        <w:tblW w:w="19860" w:type="dxa"/>
        <w:jc w:val="left"/>
        <w:tblInd w:w="23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5"/>
        <w:gridCol w:w="6195"/>
        <w:gridCol w:w="6195"/>
        <w:gridCol w:w="6195"/>
      </w:tblGrid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27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key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fefb00" w:sz="8" w:space="0" w:shadow="0" w:frame="0"/>
              <w:right w:val="single" w:color="b7b7b7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en-US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2996cc" w:sz="8" w:space="0" w:shadow="0" w:frame="0"/>
              <w:right w:val="single" w:color="b7b7b7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en-CA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fr-CA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Subject Line</w:t>
            </w:r>
          </w:p>
        </w:tc>
        <w:tc>
          <w:tcPr>
            <w:tcW w:type="dxa" w:w="6195"/>
            <w:tcBorders>
              <w:top w:val="single" w:color="fefb00" w:sz="8" w:space="0" w:shadow="0" w:frame="0"/>
              <w:left w:val="single" w:color="fefb00" w:sz="8" w:space="0" w:shadow="0" w:frame="0"/>
              <w:bottom w:val="single" w:color="2996cc" w:sz="8" w:space="0" w:shadow="0" w:frame="0"/>
              <w:right w:val="single" w:color="fefb00" w:sz="8" w:space="0" w:shadow="0" w:frame="0"/>
            </w:tcBorders>
            <w:shd w:val="clear" w:color="auto" w:fill="fefb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Foo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"http://apple.com"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Bar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 Baz</w:t>
            </w:r>
          </w:p>
        </w:tc>
        <w:tc>
          <w:tcPr>
            <w:tcW w:type="dxa" w:w="6195"/>
            <w:tcBorders>
              <w:top w:val="single" w:color="2996cc" w:sz="8" w:space="0" w:shadow="0" w:frame="0"/>
              <w:left w:val="single" w:color="fefb00" w:sz="8" w:space="0" w:shadow="0" w:frame="0"/>
              <w:bottom w:val="single" w:color="2996cc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Le paiement par carte sans signature est une r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alit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Preheader</w:t>
            </w:r>
          </w:p>
        </w:tc>
        <w:tc>
          <w:tcPr>
            <w:tcW w:type="dxa" w:w="6195"/>
            <w:tcBorders>
              <w:top w:val="single" w:color="2996cc" w:sz="8" w:space="0" w:shadow="0" w:frame="0"/>
              <w:left w:val="single" w:color="fefb00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efb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200"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Accept all major credit cards, no signature required.</w:t>
            </w:r>
          </w:p>
        </w:tc>
        <w:tc>
          <w:tcPr>
            <w:tcW w:type="dxa" w:w="6195"/>
            <w:tcBorders>
              <w:top w:val="single" w:color="2996cc" w:sz="8" w:space="0" w:shadow="0" w:frame="0"/>
              <w:left w:val="single" w:color="fefb00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Acceptez toutes les cartes de cr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dit principales, sans signature.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Headline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fefb00" w:sz="8" w:space="0" w:shadow="0" w:frame="0"/>
              <w:bottom w:val="single" w:color="2996cc" w:sz="8" w:space="0" w:shadow="0" w:frame="0"/>
              <w:right w:val="single" w:color="fefb00" w:sz="8" w:space="0" w:shadow="0" w:frame="0"/>
            </w:tcBorders>
            <w:shd w:val="clear" w:color="auto" w:fill="fefb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Skip the signature for faster card payments.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fefb00" w:sz="8" w:space="0" w:shadow="0" w:frame="0"/>
              <w:bottom w:val="single" w:color="2996cc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Omettez l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’é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tape de la signature pour acc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l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rer les paiements par carte.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127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Body copy</w:t>
            </w:r>
          </w:p>
        </w:tc>
        <w:tc>
          <w:tcPr>
            <w:tcW w:type="dxa" w:w="6195"/>
            <w:tcBorders>
              <w:top w:val="single" w:color="2996cc" w:sz="8" w:space="0" w:shadow="0" w:frame="0"/>
              <w:left w:val="single" w:color="fefb00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efb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To keep lines moving quickly, we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ve added the ability to skip signatures during checkout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—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all major credit card companies no longer require them. Simply update your Square app to try it out today.</w:t>
            </w:r>
          </w:p>
        </w:tc>
        <w:tc>
          <w:tcPr>
            <w:tcW w:type="dxa" w:w="6195"/>
            <w:tcBorders>
              <w:top w:val="single" w:color="2996cc" w:sz="8" w:space="0" w:shadow="0" w:frame="0"/>
              <w:left w:val="single" w:color="fefb00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Afin de raccourcir vos files d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attente, nous avons ajout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la capacit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d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omettre l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’é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tape de la signature pendant le paiement puisque les principales soci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s de carte de cr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dit ne l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 xml:space="preserve">exigent plus. Il suffit de mettre </w:t>
            </w:r>
            <w:r>
              <w:rPr>
                <w:rStyle w:val="None"/>
                <w:rFonts w:ascii="Calibri" w:hAnsi="Calibri" w:hint="default"/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jour votre application pour essayer cette fonction.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CTA text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fefb00" w:sz="8" w:space="0" w:shadow="0" w:frame="0"/>
              <w:bottom w:val="single" w:color="2996cc" w:sz="8" w:space="0" w:shadow="0" w:frame="0"/>
              <w:right w:val="single" w:color="fefb00" w:sz="8" w:space="0" w:shadow="0" w:frame="0"/>
            </w:tcBorders>
            <w:shd w:val="clear" w:color="auto" w:fill="fefb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Lean more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fefb00" w:sz="8" w:space="0" w:shadow="0" w:frame="0"/>
              <w:bottom w:val="single" w:color="2996cc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En savoir plus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fefb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CTA link</w:t>
            </w:r>
          </w:p>
        </w:tc>
        <w:tc>
          <w:tcPr>
            <w:tcW w:type="dxa" w:w="6195"/>
            <w:tcBorders>
              <w:top w:val="single" w:color="2996cc" w:sz="8" w:space="0" w:shadow="0" w:frame="0"/>
              <w:left w:val="single" w:color="fefb00" w:sz="8" w:space="0" w:shadow="0" w:frame="0"/>
              <w:bottom w:val="single" w:color="fefb00" w:sz="8" w:space="0" w:shadow="0" w:frame="0"/>
              <w:right w:val="single" w:color="fefb00" w:sz="8" w:space="0" w:shadow="0" w:frame="0"/>
            </w:tcBorders>
            <w:shd w:val="clear" w:color="auto" w:fill="fefb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200"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https://squareup.com/help/us/en/article/5149-disable-signatures-for-square-app-payments</w:t>
            </w:r>
          </w:p>
        </w:tc>
        <w:tc>
          <w:tcPr>
            <w:tcW w:type="dxa" w:w="6195"/>
            <w:tcBorders>
              <w:top w:val="single" w:color="2996cc" w:sz="8" w:space="0" w:shadow="0" w:frame="0"/>
              <w:left w:val="single" w:color="fefb00" w:sz="8" w:space="0" w:shadow="0" w:frame="0"/>
              <w:bottom w:val="single" w:color="2996cc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200"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https://squareup.com/help/ca/en/article/5149</w:t>
            </w:r>
          </w:p>
        </w:tc>
        <w:tc>
          <w:tcPr>
            <w:tcW w:type="dxa" w:w="6195"/>
            <w:tcBorders>
              <w:top w:val="single" w:color="b7b7b7" w:sz="8" w:space="0" w:shadow="0" w:frame="0"/>
              <w:left w:val="single" w:color="b7b7b7" w:sz="8" w:space="0" w:shadow="0" w:frame="0"/>
              <w:bottom w:val="single" w:color="b7b7b7" w:sz="8" w:space="0" w:shadow="0" w:frame="0"/>
              <w:right w:val="single" w:color="b7b7b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200"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rtl w:val="0"/>
                <w:lang w:val="en-US"/>
              </w:rPr>
              <w:t>https://squareup.com/help/ca/fr/article/5149</w:t>
            </w:r>
          </w:p>
        </w:tc>
      </w:tr>
    </w:tbl>
    <w:p>
      <w:pPr>
        <w:pStyle w:val="Body A"/>
        <w:widowControl w:val="0"/>
        <w:spacing w:line="240" w:lineRule="auto"/>
        <w:ind w:left="2202" w:hanging="2202"/>
      </w:pPr>
      <w:r/>
    </w:p>
    <w:sectPr>
      <w:headerReference w:type="default" r:id="rId4"/>
      <w:footerReference w:type="default" r:id="rId5"/>
      <w:pgSz w:w="20160" w:h="12240" w:orient="landscape"/>
      <w:pgMar w:top="144" w:right="144" w:bottom="144" w:left="144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