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Scoring Context for score_referrables_compliance.py</w:t>
      </w:r>
    </w:p>
    <w:p>
      <w:pPr>
        <w:jc w:val="center"/>
      </w:pPr>
      <w:r>
        <w:rPr>
          <w:i/>
        </w:rPr>
        <w:t>How the sentinel-site referrable isolate compliance score is computed</w:t>
      </w:r>
    </w:p>
    <w:p>
      <w:pPr>
        <w:jc w:val="center"/>
      </w:pPr>
      <w:r>
        <w:rPr>
          <w:sz w:val="18"/>
        </w:rPr>
        <w:t>Prepared for the current script version in 14_referred_computation</w:t>
      </w:r>
    </w:p>
    <w:p>
      <w:pPr>
        <w:pStyle w:val="Heading1"/>
      </w:pPr>
      <w:r>
        <w:t>Purpose</w:t>
      </w:r>
    </w:p>
    <w:p>
      <w:r>
        <w:t>This document explains the current scoring logic implemented in score_referrables_compliance.py. The script evaluates a consolidated annual WHONET Excel file, groups records by sentinel site using the LABORATORY column, applies the criteria listed in Referrables_list.xlsx, uses Breakpoints.xlsx to interpret antimicrobial results, and writes an Excel compliance report.</w:t>
      </w:r>
    </w:p>
    <w:p>
      <w:pPr>
        <w:pStyle w:val="Heading1"/>
      </w:pPr>
      <w:r>
        <w:t>Input Files</w:t>
      </w:r>
    </w:p>
    <w:tbl>
      <w:tblPr>
        <w:tblStyle w:val="TableGrid"/>
        <w:tblW w:type="auto" w:w="0"/>
        <w:tblLook w:firstColumn="1" w:firstRow="1" w:lastColumn="0" w:lastRow="0" w:noHBand="0" w:noVBand="1" w:val="04A0"/>
      </w:tblPr>
      <w:tblGrid>
        <w:gridCol w:w="4968"/>
        <w:gridCol w:w="4968"/>
      </w:tblGrid>
      <w:tr>
        <w:tc>
          <w:tcPr>
            <w:tcW w:type="dxa" w:w="3024"/>
            <w:vAlign w:val="center"/>
            <w:shd w:fill="D9EAF7"/>
          </w:tcPr>
          <w:p>
            <w:r/>
            <w:r>
              <w:rPr>
                <w:rFonts w:ascii="Arial" w:hAnsi="Arial"/>
                <w:b/>
                <w:sz w:val="18"/>
              </w:rPr>
              <w:t>Input</w:t>
            </w:r>
          </w:p>
        </w:tc>
        <w:tc>
          <w:tcPr>
            <w:tcW w:type="dxa" w:w="6768"/>
            <w:vAlign w:val="center"/>
            <w:shd w:fill="D9EAF7"/>
          </w:tcPr>
          <w:p>
            <w:r/>
            <w:r>
              <w:rPr>
                <w:rFonts w:ascii="Arial" w:hAnsi="Arial"/>
                <w:b/>
                <w:sz w:val="18"/>
              </w:rPr>
              <w:t>Role in the computation</w:t>
            </w:r>
          </w:p>
        </w:tc>
      </w:tr>
      <w:tr>
        <w:tc>
          <w:tcPr>
            <w:tcW w:type="dxa" w:w="3024"/>
            <w:vAlign w:val="center"/>
          </w:tcPr>
          <w:p>
            <w:r/>
            <w:r>
              <w:rPr>
                <w:rFonts w:ascii="Arial" w:hAnsi="Arial"/>
                <w:b w:val="0"/>
                <w:sz w:val="18"/>
              </w:rPr>
              <w:t>Referrables_list.xlsx</w:t>
            </w:r>
          </w:p>
        </w:tc>
        <w:tc>
          <w:tcPr>
            <w:tcW w:type="dxa" w:w="6768"/>
            <w:vAlign w:val="center"/>
          </w:tcPr>
          <w:p>
            <w:r/>
            <w:r>
              <w:rPr>
                <w:rFonts w:ascii="Arial" w:hAnsi="Arial"/>
                <w:b w:val="0"/>
                <w:sz w:val="18"/>
              </w:rPr>
              <w:t>Defines the organism, specimen, antibiotic, interpretation, Days/First N, and age criteria.</w:t>
            </w:r>
          </w:p>
        </w:tc>
      </w:tr>
      <w:tr>
        <w:tc>
          <w:tcPr>
            <w:tcW w:type="dxa" w:w="3024"/>
            <w:vAlign w:val="center"/>
          </w:tcPr>
          <w:p>
            <w:r/>
            <w:r>
              <w:rPr>
                <w:rFonts w:ascii="Arial" w:hAnsi="Arial"/>
                <w:b w:val="0"/>
                <w:sz w:val="18"/>
              </w:rPr>
              <w:t>Breakpoints.xlsx</w:t>
            </w:r>
          </w:p>
        </w:tc>
        <w:tc>
          <w:tcPr>
            <w:tcW w:type="dxa" w:w="6768"/>
            <w:vAlign w:val="center"/>
          </w:tcPr>
          <w:p>
            <w:r/>
            <w:r>
              <w:rPr>
                <w:rFonts w:ascii="Arial" w:hAnsi="Arial"/>
                <w:b w:val="0"/>
                <w:sz w:val="18"/>
              </w:rPr>
              <w:t>Provides breakpoint thresholds used to classify numeric antibiotic results as S, I, R, SDD, or NS.</w:t>
            </w:r>
          </w:p>
        </w:tc>
      </w:tr>
      <w:tr>
        <w:tc>
          <w:tcPr>
            <w:tcW w:type="dxa" w:w="3024"/>
            <w:vAlign w:val="center"/>
          </w:tcPr>
          <w:p>
            <w:r/>
            <w:r>
              <w:rPr>
                <w:rFonts w:ascii="Arial" w:hAnsi="Arial"/>
                <w:b w:val="0"/>
                <w:sz w:val="18"/>
              </w:rPr>
              <w:t>25PHL_referred_data_cleaned.xlsx</w:t>
            </w:r>
          </w:p>
        </w:tc>
        <w:tc>
          <w:tcPr>
            <w:tcW w:type="dxa" w:w="6768"/>
            <w:vAlign w:val="center"/>
          </w:tcPr>
          <w:p>
            <w:r/>
            <w:r>
              <w:rPr>
                <w:rFonts w:ascii="Arial" w:hAnsi="Arial"/>
                <w:b w:val="0"/>
                <w:sz w:val="18"/>
              </w:rPr>
              <w:t>Consolidated annual WHONET data. LABORATORY identifies the sentinel site; SPEC_DATE provides chronological order.</w:t>
            </w:r>
          </w:p>
        </w:tc>
      </w:tr>
    </w:tbl>
    <w:p/>
    <w:p>
      <w:pPr>
        <w:pStyle w:val="Heading1"/>
      </w:pPr>
      <w:r>
        <w:t>Rule Parsing</w:t>
      </w:r>
    </w:p>
    <w:p>
      <w:r>
        <w:t>Each usable row from Referrables_list.xlsx becomes one rule. Rows without both organism and specimen values are skipped.</w:t>
      </w:r>
    </w:p>
    <w:tbl>
      <w:tblPr>
        <w:tblStyle w:val="TableGrid"/>
        <w:tblW w:type="auto" w:w="0"/>
        <w:tblLook w:firstColumn="1" w:firstRow="1" w:lastColumn="0" w:lastRow="0" w:noHBand="0" w:noVBand="1" w:val="04A0"/>
      </w:tblPr>
      <w:tblGrid>
        <w:gridCol w:w="4968"/>
        <w:gridCol w:w="4968"/>
      </w:tblGrid>
      <w:tr>
        <w:tc>
          <w:tcPr>
            <w:tcW w:type="dxa" w:w="2160"/>
            <w:vAlign w:val="center"/>
            <w:shd w:fill="D9EAF7"/>
          </w:tcPr>
          <w:p>
            <w:r/>
            <w:r>
              <w:rPr>
                <w:rFonts w:ascii="Arial" w:hAnsi="Arial"/>
                <w:b/>
                <w:sz w:val="18"/>
              </w:rPr>
              <w:t>Field</w:t>
            </w:r>
          </w:p>
        </w:tc>
        <w:tc>
          <w:tcPr>
            <w:tcW w:type="dxa" w:w="7632"/>
            <w:vAlign w:val="center"/>
            <w:shd w:fill="D9EAF7"/>
          </w:tcPr>
          <w:p>
            <w:r/>
            <w:r>
              <w:rPr>
                <w:rFonts w:ascii="Arial" w:hAnsi="Arial"/>
                <w:b/>
                <w:sz w:val="18"/>
              </w:rPr>
              <w:t>How the script interprets it</w:t>
            </w:r>
          </w:p>
        </w:tc>
      </w:tr>
      <w:tr>
        <w:tc>
          <w:tcPr>
            <w:tcW w:type="dxa" w:w="2160"/>
            <w:vAlign w:val="center"/>
          </w:tcPr>
          <w:p>
            <w:r/>
            <w:r>
              <w:rPr>
                <w:rFonts w:ascii="Arial" w:hAnsi="Arial"/>
                <w:b w:val="0"/>
                <w:sz w:val="18"/>
              </w:rPr>
              <w:t>Organism_Code</w:t>
            </w:r>
          </w:p>
        </w:tc>
        <w:tc>
          <w:tcPr>
            <w:tcW w:type="dxa" w:w="7632"/>
            <w:vAlign w:val="center"/>
          </w:tcPr>
          <w:p>
            <w:r/>
            <w:r>
              <w:rPr>
                <w:rFonts w:ascii="Arial" w:hAnsi="Arial"/>
                <w:b w:val="0"/>
                <w:sz w:val="18"/>
              </w:rPr>
              <w:t>Split by |. Any listed organism code can match the WHONET ORGANISM column.</w:t>
            </w:r>
          </w:p>
        </w:tc>
      </w:tr>
      <w:tr>
        <w:tc>
          <w:tcPr>
            <w:tcW w:type="dxa" w:w="2160"/>
            <w:vAlign w:val="center"/>
          </w:tcPr>
          <w:p>
            <w:r/>
            <w:r>
              <w:rPr>
                <w:rFonts w:ascii="Arial" w:hAnsi="Arial"/>
                <w:b w:val="0"/>
                <w:sz w:val="18"/>
              </w:rPr>
              <w:t>Specimen_code</w:t>
            </w:r>
          </w:p>
        </w:tc>
        <w:tc>
          <w:tcPr>
            <w:tcW w:type="dxa" w:w="7632"/>
            <w:vAlign w:val="center"/>
          </w:tcPr>
          <w:p>
            <w:r/>
            <w:r>
              <w:rPr>
                <w:rFonts w:ascii="Arial" w:hAnsi="Arial"/>
                <w:b w:val="0"/>
                <w:sz w:val="18"/>
              </w:rPr>
              <w:t>Split by |. Any listed specimen code can match the WHONET SPEC_TYPE column.</w:t>
            </w:r>
          </w:p>
        </w:tc>
      </w:tr>
      <w:tr>
        <w:tc>
          <w:tcPr>
            <w:tcW w:type="dxa" w:w="2160"/>
            <w:vAlign w:val="center"/>
          </w:tcPr>
          <w:p>
            <w:r/>
            <w:r>
              <w:rPr>
                <w:rFonts w:ascii="Arial" w:hAnsi="Arial"/>
                <w:b w:val="0"/>
                <w:sz w:val="18"/>
              </w:rPr>
              <w:t>Antibiotic_code</w:t>
            </w:r>
          </w:p>
        </w:tc>
        <w:tc>
          <w:tcPr>
            <w:tcW w:type="dxa" w:w="7632"/>
            <w:vAlign w:val="center"/>
          </w:tcPr>
          <w:p>
            <w:r/>
            <w:r>
              <w:rPr>
                <w:rFonts w:ascii="Arial" w:hAnsi="Arial"/>
                <w:b w:val="0"/>
                <w:sz w:val="18"/>
              </w:rPr>
              <w:t>&amp; means required groups; | means alternate test columns within a group. Example: ETP_ND30|ETP_NM&amp;IPM_ND30|IPM_NM requires ertapenem and imipenem, with disk or MIC accepted for each.</w:t>
            </w:r>
          </w:p>
        </w:tc>
      </w:tr>
      <w:tr>
        <w:tc>
          <w:tcPr>
            <w:tcW w:type="dxa" w:w="2160"/>
            <w:vAlign w:val="center"/>
          </w:tcPr>
          <w:p>
            <w:r/>
            <w:r>
              <w:rPr>
                <w:rFonts w:ascii="Arial" w:hAnsi="Arial"/>
                <w:b w:val="0"/>
                <w:sz w:val="18"/>
              </w:rPr>
              <w:t>Interpretation</w:t>
            </w:r>
          </w:p>
        </w:tc>
        <w:tc>
          <w:tcPr>
            <w:tcW w:type="dxa" w:w="7632"/>
            <w:vAlign w:val="center"/>
          </w:tcPr>
          <w:p>
            <w:r/>
            <w:r>
              <w:rPr>
                <w:rFonts w:ascii="Arial" w:hAnsi="Arial"/>
                <w:b w:val="0"/>
                <w:sz w:val="18"/>
              </w:rPr>
              <w:t>Split by |. The classified antibiotic result must be one of the allowed interpretations.</w:t>
            </w:r>
          </w:p>
        </w:tc>
      </w:tr>
      <w:tr>
        <w:tc>
          <w:tcPr>
            <w:tcW w:type="dxa" w:w="2160"/>
            <w:vAlign w:val="center"/>
          </w:tcPr>
          <w:p>
            <w:r/>
            <w:r>
              <w:rPr>
                <w:rFonts w:ascii="Arial" w:hAnsi="Arial"/>
                <w:b w:val="0"/>
                <w:sz w:val="18"/>
              </w:rPr>
              <w:t>Days</w:t>
            </w:r>
          </w:p>
        </w:tc>
        <w:tc>
          <w:tcPr>
            <w:tcW w:type="dxa" w:w="7632"/>
            <w:vAlign w:val="center"/>
          </w:tcPr>
          <w:p>
            <w:r/>
            <w:r>
              <w:rPr>
                <w:rFonts w:ascii="Arial" w:hAnsi="Arial"/>
                <w:b w:val="0"/>
                <w:sz w:val="18"/>
              </w:rPr>
              <w:t>Used as First N isolate target, not as calendar day. If Days = 15, the rule target is the first 15 matching isolates.</w:t>
            </w:r>
          </w:p>
        </w:tc>
      </w:tr>
      <w:tr>
        <w:tc>
          <w:tcPr>
            <w:tcW w:type="dxa" w:w="2160"/>
            <w:vAlign w:val="center"/>
          </w:tcPr>
          <w:p>
            <w:r/>
            <w:r>
              <w:rPr>
                <w:rFonts w:ascii="Arial" w:hAnsi="Arial"/>
                <w:b w:val="0"/>
                <w:sz w:val="18"/>
              </w:rPr>
              <w:t>Age</w:t>
            </w:r>
          </w:p>
        </w:tc>
        <w:tc>
          <w:tcPr>
            <w:tcW w:type="dxa" w:w="7632"/>
            <w:vAlign w:val="center"/>
          </w:tcPr>
          <w:p>
            <w:r/>
            <w:r>
              <w:rPr>
                <w:rFonts w:ascii="Arial" w:hAnsi="Arial"/>
                <w:b w:val="0"/>
                <w:sz w:val="18"/>
              </w:rPr>
              <w:t>Age filter. &lt;1 means 0 to 28 days. Values such as 12d, 1m, and numeric years are converted for comparison.</w:t>
            </w:r>
          </w:p>
        </w:tc>
      </w:tr>
    </w:tbl>
    <w:p/>
    <w:p>
      <w:pPr>
        <w:pStyle w:val="Heading1"/>
      </w:pPr>
      <w:r>
        <w:t>Antibiotic Interpretation</w:t>
      </w:r>
    </w:p>
    <w:p>
      <w:r>
        <w:t>If an antibiotic criterion is present, the script looks for the requested WHONET antibiotic test column. It also handles common disk potency aliases, such as ND30 and ND10 alternates, when the exact requested column is not present.</w:t>
      </w:r>
    </w:p>
    <w:p>
      <w:r>
        <w:t>For numeric results, the script uses Breakpoints.xlsx to classify values. MIC-style tests such as *_NM use lower values as more susceptible; disk diffusion tests such as *_ND10 use larger zone diameters as more susceptible. Raw text values already encoded as S, I, R, NS, or SDD are accepted directly.</w:t>
      </w:r>
    </w:p>
    <w:p>
      <w:r>
        <w:t>The script contains a breakpoint fallback for Enterobacterales: eco and kpn use EBC breakpoints when no specific usable breakpoint exists for the organism code.</w:t>
      </w:r>
    </w:p>
    <w:p>
      <w:pPr>
        <w:pStyle w:val="Heading1"/>
      </w:pPr>
      <w:r>
        <w:t>Matching Logic</w:t>
      </w:r>
    </w:p>
    <w:p>
      <w:r>
        <w:t>A data row is considered a match for a rule only if all applicable filters pass:</w:t>
      </w:r>
    </w:p>
    <w:p>
      <w:pPr>
        <w:pStyle w:val="ListBullet"/>
      </w:pPr>
      <w:r>
        <w:t>ORGANISM is one of the rule's Organism_Code values.</w:t>
      </w:r>
    </w:p>
    <w:p>
      <w:pPr>
        <w:pStyle w:val="ListBullet"/>
      </w:pPr>
      <w:r>
        <w:t>SPEC_TYPE is one of the rule's Specimen_code values.</w:t>
      </w:r>
    </w:p>
    <w:p>
      <w:pPr>
        <w:pStyle w:val="ListBullet"/>
      </w:pPr>
      <w:r>
        <w:t>AGE passes the rule's age condition, when an age criterion is provided.</w:t>
      </w:r>
    </w:p>
    <w:p>
      <w:pPr>
        <w:pStyle w:val="ListBullet"/>
      </w:pPr>
      <w:r>
        <w:t>All required antibiotic groups pass, when Antibiotic_code and Interpretation are provided.</w:t>
      </w:r>
    </w:p>
    <w:p>
      <w:pPr>
        <w:pStyle w:val="ListBullet"/>
      </w:pPr>
      <w:r>
        <w:t>Days is not used to filter by calendar day. It is used later as the target number of first matching isolates.</w:t>
      </w:r>
    </w:p>
    <w:p>
      <w:pPr>
        <w:pStyle w:val="Heading1"/>
      </w:pPr>
      <w:r>
        <w:t>Current Scoring Model</w:t>
      </w:r>
    </w:p>
    <w:p>
      <w:r>
        <w:t>The final score is calculated from two components: required rules and non-required rules. The final annual score is the average of these two component scores.</w:t>
      </w:r>
    </w:p>
    <w:p>
      <w:pPr>
        <w:pStyle w:val="Heading2"/>
      </w:pPr>
      <w:r>
        <w:t>Required Rules: Days / First N</w:t>
      </w:r>
    </w:p>
    <w:p>
      <w:r>
        <w:t>Rules with a nonblank Days value are treated as required rules. The Days value is interpreted as the number of first matching isolates expected for that criterion.</w:t>
      </w:r>
    </w:p>
    <w:tbl>
      <w:tblPr>
        <w:tblStyle w:val="TableGrid"/>
        <w:tblW w:type="auto" w:w="0"/>
        <w:tblLook w:firstColumn="1" w:firstRow="1" w:lastColumn="0" w:lastRow="0" w:noHBand="0" w:noVBand="1" w:val="04A0"/>
      </w:tblPr>
      <w:tblGrid>
        <w:gridCol w:w="4968"/>
        <w:gridCol w:w="4968"/>
      </w:tblGrid>
      <w:tr>
        <w:tc>
          <w:tcPr>
            <w:tcW w:type="dxa" w:w="1008"/>
            <w:vAlign w:val="center"/>
            <w:shd w:fill="D9EAF7"/>
          </w:tcPr>
          <w:p>
            <w:r/>
            <w:r>
              <w:rPr>
                <w:rFonts w:ascii="Arial" w:hAnsi="Arial"/>
                <w:b/>
                <w:sz w:val="18"/>
              </w:rPr>
              <w:t>Step</w:t>
            </w:r>
          </w:p>
        </w:tc>
        <w:tc>
          <w:tcPr>
            <w:tcW w:type="dxa" w:w="8784"/>
            <w:vAlign w:val="center"/>
            <w:shd w:fill="D9EAF7"/>
          </w:tcPr>
          <w:p>
            <w:r/>
            <w:r>
              <w:rPr>
                <w:rFonts w:ascii="Arial" w:hAnsi="Arial"/>
                <w:b/>
                <w:sz w:val="18"/>
              </w:rPr>
              <w:t>Computation</w:t>
            </w:r>
          </w:p>
        </w:tc>
      </w:tr>
      <w:tr>
        <w:tc>
          <w:tcPr>
            <w:tcW w:type="dxa" w:w="1008"/>
            <w:vAlign w:val="center"/>
          </w:tcPr>
          <w:p>
            <w:r/>
            <w:r>
              <w:rPr>
                <w:rFonts w:ascii="Arial" w:hAnsi="Arial"/>
                <w:b w:val="0"/>
                <w:sz w:val="18"/>
              </w:rPr>
              <w:t>1</w:t>
            </w:r>
          </w:p>
        </w:tc>
        <w:tc>
          <w:tcPr>
            <w:tcW w:type="dxa" w:w="8784"/>
            <w:vAlign w:val="center"/>
          </w:tcPr>
          <w:p>
            <w:r/>
            <w:r>
              <w:rPr>
                <w:rFonts w:ascii="Arial" w:hAnsi="Arial"/>
                <w:b w:val="0"/>
                <w:sz w:val="18"/>
              </w:rPr>
              <w:t>Find all records for the site that match the rule criteria, ignoring Days as a calendar filter.</w:t>
            </w:r>
          </w:p>
        </w:tc>
      </w:tr>
      <w:tr>
        <w:tc>
          <w:tcPr>
            <w:tcW w:type="dxa" w:w="1008"/>
            <w:vAlign w:val="center"/>
          </w:tcPr>
          <w:p>
            <w:r/>
            <w:r>
              <w:rPr>
                <w:rFonts w:ascii="Arial" w:hAnsi="Arial"/>
                <w:b w:val="0"/>
                <w:sz w:val="18"/>
              </w:rPr>
              <w:t>2</w:t>
            </w:r>
          </w:p>
        </w:tc>
        <w:tc>
          <w:tcPr>
            <w:tcW w:type="dxa" w:w="8784"/>
            <w:vAlign w:val="center"/>
          </w:tcPr>
          <w:p>
            <w:r/>
            <w:r>
              <w:rPr>
                <w:rFonts w:ascii="Arial" w:hAnsi="Arial"/>
                <w:b w:val="0"/>
                <w:sz w:val="18"/>
              </w:rPr>
              <w:t>Sort those matching records by SPEC_DATE, then by source row number.</w:t>
            </w:r>
          </w:p>
        </w:tc>
      </w:tr>
      <w:tr>
        <w:tc>
          <w:tcPr>
            <w:tcW w:type="dxa" w:w="1008"/>
            <w:vAlign w:val="center"/>
          </w:tcPr>
          <w:p>
            <w:r/>
            <w:r>
              <w:rPr>
                <w:rFonts w:ascii="Arial" w:hAnsi="Arial"/>
                <w:b w:val="0"/>
                <w:sz w:val="18"/>
              </w:rPr>
              <w:t>3</w:t>
            </w:r>
          </w:p>
        </w:tc>
        <w:tc>
          <w:tcPr>
            <w:tcW w:type="dxa" w:w="8784"/>
            <w:vAlign w:val="center"/>
          </w:tcPr>
          <w:p>
            <w:r/>
            <w:r>
              <w:rPr>
                <w:rFonts w:ascii="Arial" w:hAnsi="Arial"/>
                <w:b w:val="0"/>
                <w:sz w:val="18"/>
              </w:rPr>
              <w:t>Take only the first N records, where N is the Days value.</w:t>
            </w:r>
          </w:p>
        </w:tc>
      </w:tr>
      <w:tr>
        <w:tc>
          <w:tcPr>
            <w:tcW w:type="dxa" w:w="1008"/>
            <w:vAlign w:val="center"/>
          </w:tcPr>
          <w:p>
            <w:r/>
            <w:r>
              <w:rPr>
                <w:rFonts w:ascii="Arial" w:hAnsi="Arial"/>
                <w:b w:val="0"/>
                <w:sz w:val="18"/>
              </w:rPr>
              <w:t>4</w:t>
            </w:r>
          </w:p>
        </w:tc>
        <w:tc>
          <w:tcPr>
            <w:tcW w:type="dxa" w:w="8784"/>
            <w:vAlign w:val="center"/>
          </w:tcPr>
          <w:p>
            <w:r/>
            <w:r>
              <w:rPr>
                <w:rFonts w:ascii="Arial" w:hAnsi="Arial"/>
                <w:b w:val="0"/>
                <w:sz w:val="18"/>
              </w:rPr>
              <w:t>Criterion score = min(counted matches / N, 1) * 100.</w:t>
            </w:r>
          </w:p>
        </w:tc>
      </w:tr>
      <w:tr>
        <w:tc>
          <w:tcPr>
            <w:tcW w:type="dxa" w:w="1008"/>
            <w:vAlign w:val="center"/>
          </w:tcPr>
          <w:p>
            <w:r/>
            <w:r>
              <w:rPr>
                <w:rFonts w:ascii="Arial" w:hAnsi="Arial"/>
                <w:b w:val="0"/>
                <w:sz w:val="18"/>
              </w:rPr>
              <w:t>5</w:t>
            </w:r>
          </w:p>
        </w:tc>
        <w:tc>
          <w:tcPr>
            <w:tcW w:type="dxa" w:w="8784"/>
            <w:vAlign w:val="center"/>
          </w:tcPr>
          <w:p>
            <w:r/>
            <w:r>
              <w:rPr>
                <w:rFonts w:ascii="Arial" w:hAnsi="Arial"/>
                <w:b w:val="0"/>
                <w:sz w:val="18"/>
              </w:rPr>
              <w:t>If criterion score is 100%, the required criterion is counted as fully complied.</w:t>
            </w:r>
          </w:p>
        </w:tc>
      </w:tr>
    </w:tbl>
    <w:p/>
    <w:p>
      <w:r>
        <w:t>Example: if Days = 15 and a site has 10 matching isolates for that rule, the criterion score is 10 / 15 = 66.67%. If the site has 15 or more matching isolates, the criterion is capped at 100%.</w:t>
      </w:r>
    </w:p>
    <w:p>
      <w:pPr>
        <w:pStyle w:val="Heading2"/>
      </w:pPr>
      <w:r>
        <w:t>Non-Required Rules: Presence Score</w:t>
      </w:r>
    </w:p>
    <w:p>
      <w:r>
        <w:t>Rules with blank Days are non-required rules. They do not use a First N target. Instead, the script counts how many non-required rules have at least one matching isolate for each sentinel site.</w:t>
      </w:r>
    </w:p>
    <w:p>
      <w:r>
        <w:t>The script currently uses NON_REQUIRED_BASELINE = 3. This creates a three-level non-required component score:</w:t>
      </w:r>
    </w:p>
    <w:tbl>
      <w:tblPr>
        <w:tblStyle w:val="TableGrid"/>
        <w:tblW w:type="auto" w:w="0"/>
        <w:tblLook w:firstColumn="1" w:firstRow="1" w:lastColumn="0" w:lastRow="0" w:noHBand="0" w:noVBand="1" w:val="04A0"/>
      </w:tblPr>
      <w:tblGrid>
        <w:gridCol w:w="4968"/>
        <w:gridCol w:w="4968"/>
      </w:tblGrid>
      <w:tr>
        <w:tc>
          <w:tcPr>
            <w:tcW w:type="dxa" w:w="4320"/>
            <w:vAlign w:val="center"/>
            <w:shd w:fill="D9EAF7"/>
          </w:tcPr>
          <w:p>
            <w:r/>
            <w:r>
              <w:rPr>
                <w:rFonts w:ascii="Arial" w:hAnsi="Arial"/>
                <w:b/>
                <w:sz w:val="18"/>
              </w:rPr>
              <w:t>Matched non-required criteria</w:t>
            </w:r>
          </w:p>
        </w:tc>
        <w:tc>
          <w:tcPr>
            <w:tcW w:type="dxa" w:w="4320"/>
            <w:vAlign w:val="center"/>
            <w:shd w:fill="D9EAF7"/>
          </w:tcPr>
          <w:p>
            <w:r/>
            <w:r>
              <w:rPr>
                <w:rFonts w:ascii="Arial" w:hAnsi="Arial"/>
                <w:b/>
                <w:sz w:val="18"/>
              </w:rPr>
              <w:t>Non-required score</w:t>
            </w:r>
          </w:p>
        </w:tc>
      </w:tr>
      <w:tr>
        <w:tc>
          <w:tcPr>
            <w:tcW w:type="dxa" w:w="4320"/>
            <w:vAlign w:val="center"/>
          </w:tcPr>
          <w:p>
            <w:r/>
            <w:r>
              <w:rPr>
                <w:rFonts w:ascii="Arial" w:hAnsi="Arial"/>
                <w:b w:val="0"/>
                <w:sz w:val="18"/>
              </w:rPr>
              <w:t>0</w:t>
            </w:r>
          </w:p>
        </w:tc>
        <w:tc>
          <w:tcPr>
            <w:tcW w:type="dxa" w:w="4320"/>
            <w:vAlign w:val="center"/>
          </w:tcPr>
          <w:p>
            <w:r/>
            <w:r>
              <w:rPr>
                <w:rFonts w:ascii="Arial" w:hAnsi="Arial"/>
                <w:b w:val="0"/>
                <w:sz w:val="18"/>
              </w:rPr>
              <w:t>0%</w:t>
            </w:r>
          </w:p>
        </w:tc>
      </w:tr>
      <w:tr>
        <w:tc>
          <w:tcPr>
            <w:tcW w:type="dxa" w:w="4320"/>
            <w:vAlign w:val="center"/>
          </w:tcPr>
          <w:p>
            <w:r/>
            <w:r>
              <w:rPr>
                <w:rFonts w:ascii="Arial" w:hAnsi="Arial"/>
                <w:b w:val="0"/>
                <w:sz w:val="18"/>
              </w:rPr>
              <w:t>1 or 2</w:t>
            </w:r>
          </w:p>
        </w:tc>
        <w:tc>
          <w:tcPr>
            <w:tcW w:type="dxa" w:w="4320"/>
            <w:vAlign w:val="center"/>
          </w:tcPr>
          <w:p>
            <w:r/>
            <w:r>
              <w:rPr>
                <w:rFonts w:ascii="Arial" w:hAnsi="Arial"/>
                <w:b w:val="0"/>
                <w:sz w:val="18"/>
              </w:rPr>
              <w:t>50%</w:t>
            </w:r>
          </w:p>
        </w:tc>
      </w:tr>
      <w:tr>
        <w:tc>
          <w:tcPr>
            <w:tcW w:type="dxa" w:w="4320"/>
            <w:vAlign w:val="center"/>
          </w:tcPr>
          <w:p>
            <w:r/>
            <w:r>
              <w:rPr>
                <w:rFonts w:ascii="Arial" w:hAnsi="Arial"/>
                <w:b w:val="0"/>
                <w:sz w:val="18"/>
              </w:rPr>
              <w:t>3 or more</w:t>
            </w:r>
          </w:p>
        </w:tc>
        <w:tc>
          <w:tcPr>
            <w:tcW w:type="dxa" w:w="4320"/>
            <w:vAlign w:val="center"/>
          </w:tcPr>
          <w:p>
            <w:r/>
            <w:r>
              <w:rPr>
                <w:rFonts w:ascii="Arial" w:hAnsi="Arial"/>
                <w:b w:val="0"/>
                <w:sz w:val="18"/>
              </w:rPr>
              <w:t>100%</w:t>
            </w:r>
          </w:p>
        </w:tc>
      </w:tr>
    </w:tbl>
    <w:p/>
    <w:p>
      <w:pPr>
        <w:pStyle w:val="Heading1"/>
      </w:pPr>
      <w:r>
        <w:t>Overall Score Formula</w:t>
      </w:r>
    </w:p>
    <w:p>
      <w:r>
        <w:t>For each sentinel site:</w:t>
      </w:r>
    </w:p>
    <w:p>
      <w:pPr>
        <w:pStyle w:val="ListNumber"/>
      </w:pPr>
      <w:r>
        <w:t>Required Score % = average of all required Days/First N criterion scores.</w:t>
      </w:r>
    </w:p>
    <w:p>
      <w:pPr>
        <w:pStyle w:val="ListNumber"/>
      </w:pPr>
      <w:r>
        <w:t>Non-Required Score % = 0%, 50%, or 100% based on the non-required baseline.</w:t>
      </w:r>
    </w:p>
    <w:p>
      <w:pPr>
        <w:pStyle w:val="ListNumber"/>
      </w:pPr>
      <w:r>
        <w:t>Final Annual Score % = (Required Score % + Non-Required Score %) / 2.</w:t>
      </w:r>
    </w:p>
    <w:p>
      <w:r>
        <w:t>This means the final score gives equal weight to the required day-based referral performance and the non-required organism/specimen presence component.</w:t>
      </w:r>
    </w:p>
    <w:p>
      <w:pPr>
        <w:pStyle w:val="Heading1"/>
      </w:pPr>
      <w:r>
        <w:t>Output Workbook</w:t>
      </w:r>
    </w:p>
    <w:tbl>
      <w:tblPr>
        <w:tblStyle w:val="TableGrid"/>
        <w:tblW w:type="auto" w:w="0"/>
        <w:tblLook w:firstColumn="1" w:firstRow="1" w:lastColumn="0" w:lastRow="0" w:noHBand="0" w:noVBand="1" w:val="04A0"/>
      </w:tblPr>
      <w:tblGrid>
        <w:gridCol w:w="4968"/>
        <w:gridCol w:w="4968"/>
      </w:tblGrid>
      <w:tr>
        <w:tc>
          <w:tcPr>
            <w:tcW w:type="dxa" w:w="2592"/>
            <w:vAlign w:val="center"/>
            <w:shd w:fill="D9EAF7"/>
          </w:tcPr>
          <w:p>
            <w:r/>
            <w:r>
              <w:rPr>
                <w:rFonts w:ascii="Arial" w:hAnsi="Arial"/>
                <w:b/>
                <w:sz w:val="18"/>
              </w:rPr>
              <w:t>Sheet</w:t>
            </w:r>
          </w:p>
        </w:tc>
        <w:tc>
          <w:tcPr>
            <w:tcW w:type="dxa" w:w="7200"/>
            <w:vAlign w:val="center"/>
            <w:shd w:fill="D9EAF7"/>
          </w:tcPr>
          <w:p>
            <w:r/>
            <w:r>
              <w:rPr>
                <w:rFonts w:ascii="Arial" w:hAnsi="Arial"/>
                <w:b/>
                <w:sz w:val="18"/>
              </w:rPr>
              <w:t>Contents</w:t>
            </w:r>
          </w:p>
        </w:tc>
      </w:tr>
      <w:tr>
        <w:tc>
          <w:tcPr>
            <w:tcW w:type="dxa" w:w="2592"/>
            <w:vAlign w:val="center"/>
          </w:tcPr>
          <w:p>
            <w:r/>
            <w:r>
              <w:rPr>
                <w:rFonts w:ascii="Arial" w:hAnsi="Arial"/>
                <w:b w:val="0"/>
                <w:sz w:val="18"/>
              </w:rPr>
              <w:t>Summary</w:t>
            </w:r>
          </w:p>
        </w:tc>
        <w:tc>
          <w:tcPr>
            <w:tcW w:type="dxa" w:w="7200"/>
            <w:vAlign w:val="center"/>
          </w:tcPr>
          <w:p>
            <w:r/>
            <w:r>
              <w:rPr>
                <w:rFonts w:ascii="Arial" w:hAnsi="Arial"/>
                <w:b w:val="0"/>
                <w:sz w:val="18"/>
              </w:rPr>
              <w:t>One row per sentinel site with required score, non-required score, and final annual score.</w:t>
            </w:r>
          </w:p>
        </w:tc>
      </w:tr>
      <w:tr>
        <w:tc>
          <w:tcPr>
            <w:tcW w:type="dxa" w:w="2592"/>
            <w:vAlign w:val="center"/>
          </w:tcPr>
          <w:p>
            <w:r/>
            <w:r>
              <w:rPr>
                <w:rFonts w:ascii="Arial" w:hAnsi="Arial"/>
                <w:b w:val="0"/>
                <w:sz w:val="18"/>
              </w:rPr>
              <w:t>Criteria_Status</w:t>
            </w:r>
          </w:p>
        </w:tc>
        <w:tc>
          <w:tcPr>
            <w:tcW w:type="dxa" w:w="7200"/>
            <w:vAlign w:val="center"/>
          </w:tcPr>
          <w:p>
            <w:r/>
            <w:r>
              <w:rPr>
                <w:rFonts w:ascii="Arial" w:hAnsi="Arial"/>
                <w:b w:val="0"/>
                <w:sz w:val="18"/>
              </w:rPr>
              <w:t>One row per site-rule pair with status, criterion score, total match count, and counted match count.</w:t>
            </w:r>
          </w:p>
        </w:tc>
      </w:tr>
      <w:tr>
        <w:tc>
          <w:tcPr>
            <w:tcW w:type="dxa" w:w="2592"/>
            <w:vAlign w:val="center"/>
          </w:tcPr>
          <w:p>
            <w:r/>
            <w:r>
              <w:rPr>
                <w:rFonts w:ascii="Arial" w:hAnsi="Arial"/>
                <w:b w:val="0"/>
                <w:sz w:val="18"/>
              </w:rPr>
              <w:t>Criteria_Isolate_Counts</w:t>
            </w:r>
          </w:p>
        </w:tc>
        <w:tc>
          <w:tcPr>
            <w:tcW w:type="dxa" w:w="7200"/>
            <w:vAlign w:val="center"/>
          </w:tcPr>
          <w:p>
            <w:r/>
            <w:r>
              <w:rPr>
                <w:rFonts w:ascii="Arial" w:hAnsi="Arial"/>
                <w:b w:val="0"/>
                <w:sz w:val="18"/>
              </w:rPr>
              <w:t>A count-focused view of total and counted matches by site and rule.</w:t>
            </w:r>
          </w:p>
        </w:tc>
      </w:tr>
      <w:tr>
        <w:tc>
          <w:tcPr>
            <w:tcW w:type="dxa" w:w="2592"/>
            <w:vAlign w:val="center"/>
          </w:tcPr>
          <w:p>
            <w:r/>
            <w:r>
              <w:rPr>
                <w:rFonts w:ascii="Arial" w:hAnsi="Arial"/>
                <w:b w:val="0"/>
                <w:sz w:val="18"/>
              </w:rPr>
              <w:t>Matched_Records</w:t>
            </w:r>
          </w:p>
        </w:tc>
        <w:tc>
          <w:tcPr>
            <w:tcW w:type="dxa" w:w="7200"/>
            <w:vAlign w:val="center"/>
          </w:tcPr>
          <w:p>
            <w:r/>
            <w:r>
              <w:rPr>
                <w:rFonts w:ascii="Arial" w:hAnsi="Arial"/>
                <w:b w:val="0"/>
                <w:sz w:val="18"/>
              </w:rPr>
              <w:t>All records matched by any rule, including patient/specimen identifiers and interpretation notes.</w:t>
            </w:r>
          </w:p>
        </w:tc>
      </w:tr>
      <w:tr>
        <w:tc>
          <w:tcPr>
            <w:tcW w:type="dxa" w:w="2592"/>
            <w:vAlign w:val="center"/>
          </w:tcPr>
          <w:p>
            <w:r/>
            <w:r>
              <w:rPr>
                <w:rFonts w:ascii="Arial" w:hAnsi="Arial"/>
                <w:b w:val="0"/>
                <w:sz w:val="18"/>
              </w:rPr>
              <w:t>Organism tabs</w:t>
            </w:r>
          </w:p>
        </w:tc>
        <w:tc>
          <w:tcPr>
            <w:tcW w:type="dxa" w:w="7200"/>
            <w:vAlign w:val="center"/>
          </w:tcPr>
          <w:p>
            <w:r/>
            <w:r>
              <w:rPr>
                <w:rFonts w:ascii="Arial" w:hAnsi="Arial"/>
                <w:b w:val="0"/>
                <w:sz w:val="18"/>
              </w:rPr>
              <w:t>Matched records consolidated by organism label, such as eco, kpn, pae, sal, shi, etc.</w:t>
            </w:r>
          </w:p>
        </w:tc>
      </w:tr>
    </w:tbl>
    <w:p/>
    <w:p>
      <w:pPr>
        <w:pStyle w:val="Heading1"/>
      </w:pPr>
      <w:r>
        <w:t>Important Implementation Notes</w:t>
      </w:r>
    </w:p>
    <w:p>
      <w:pPr>
        <w:pStyle w:val="ListBullet"/>
      </w:pPr>
      <w:r>
        <w:t>One isolate can satisfy multiple rules. The script evaluates every row against every rule.</w:t>
      </w:r>
    </w:p>
    <w:p>
      <w:pPr>
        <w:pStyle w:val="ListBullet"/>
      </w:pPr>
      <w:r>
        <w:t>Days no longer means SPEC_DATE day-of-month. It means the first N matching isolates after sorting by SPEC_DATE.</w:t>
      </w:r>
    </w:p>
    <w:p>
      <w:pPr>
        <w:pStyle w:val="ListBullet"/>
      </w:pPr>
      <w:r>
        <w:t>The report is computed per sentinel site using LABORATORY.</w:t>
      </w:r>
    </w:p>
    <w:p>
      <w:pPr>
        <w:pStyle w:val="ListBullet"/>
      </w:pPr>
      <w:r>
        <w:t>For eco and kpn, breakpoint interpretation falls back to EBC when needed.</w:t>
      </w:r>
    </w:p>
    <w:p>
      <w:pPr>
        <w:pStyle w:val="ListBullet"/>
      </w:pPr>
      <w:r>
        <w:t>Non-required rules are not scored isolate-by-isolate; they contribute through the baseline presence score.</w:t>
      </w:r>
    </w:p>
    <w:p>
      <w:pPr>
        <w:pStyle w:val="Heading1"/>
      </w:pPr>
      <w:r>
        <w:t>Caveat</w:t>
      </w:r>
    </w:p>
    <w:p>
      <w:r>
        <w:t>The current script writes detailed matched-record tabs and applies workbook formatting to every sheet. For large match sets, report generation can take noticeably longer than the scoring calculation itself.</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score_referrables_compliance.py scoring context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