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conv_dbase_excel.py</w:t>
      </w:r>
    </w:p>
    <w:p>
      <w:pPr>
        <w:spacing w:after="240"/>
      </w:pPr>
      <w:r>
        <w:rPr>
          <w:color w:val="555555"/>
          <w:sz w:val="18"/>
        </w:rPr>
        <w:t>Source folder: D:\PROGRAMMING\TESTINGS\Tools_backup\annual_perf_eval\annual_performance_reports\1_convert_dbf_to_excel</w:t>
      </w:r>
    </w:p>
    <w:p>
      <w:pPr>
        <w:pStyle w:val="Heading1"/>
      </w:pPr>
      <w:r>
        <w:t>Purpose and Context</w:t>
      </w:r>
    </w:p>
    <w:p>
      <w:pPr>
        <w:pStyle w:val="BodyText"/>
      </w:pPr>
      <w:r>
        <w:t>The script converts WHONET-style DBF/database files into Excel workbooks. It is used as an early preparation step in the annual performance evaluation workflow, making source files easier to inspect and process with later pandas-based scripts.</w:t>
      </w:r>
    </w:p>
    <w:p>
      <w:pPr>
        <w:pStyle w:val="BodyText"/>
      </w:pPr>
      <w:r>
        <w:t>Unlike the later reporting scripts, this script does not calculate percentages, averages, or scores. Its main operation is file conversion: read matching DBF-format files, convert each table into a pandas DataFrame, and export each DataFrame as an .xlsx file.</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folder</w:t>
            </w:r>
          </w:p>
        </w:tc>
        <w:tc>
          <w:tcPr>
            <w:tcW w:type="dxa" w:w="7200"/>
            <w:vAlign w:val="center"/>
            <w:tcMar>
              <w:top w:w="80" w:type="dxa"/>
              <w:start w:w="120" w:type="dxa"/>
              <w:bottom w:w="80" w:type="dxa"/>
              <w:end w:w="120" w:type="dxa"/>
            </w:tcMar>
          </w:tcPr>
          <w:p>
            <w:pPr>
              <w:spacing w:after="0"/>
            </w:pPr>
            <w:r>
              <w:rPr>
                <w:sz w:val="18"/>
              </w:rPr>
              <w:t>The user selects a folder containing WHONET source files.</w:t>
            </w:r>
          </w:p>
        </w:tc>
      </w:tr>
      <w:tr>
        <w:tc>
          <w:tcPr>
            <w:tcW w:type="dxa" w:w="2160"/>
            <w:vAlign w:val="center"/>
            <w:tcMar>
              <w:top w:w="80" w:type="dxa"/>
              <w:start w:w="120" w:type="dxa"/>
              <w:bottom w:w="80" w:type="dxa"/>
              <w:end w:w="120" w:type="dxa"/>
            </w:tcMar>
          </w:tcPr>
          <w:p>
            <w:pPr>
              <w:spacing w:after="0"/>
            </w:pPr>
            <w:r>
              <w:rPr>
                <w:sz w:val="18"/>
              </w:rPr>
              <w:t>File extension</w:t>
            </w:r>
          </w:p>
        </w:tc>
        <w:tc>
          <w:tcPr>
            <w:tcW w:type="dxa" w:w="7200"/>
            <w:vAlign w:val="center"/>
            <w:tcMar>
              <w:top w:w="80" w:type="dxa"/>
              <w:start w:w="120" w:type="dxa"/>
              <w:bottom w:w="80" w:type="dxa"/>
              <w:end w:w="120" w:type="dxa"/>
            </w:tcMar>
          </w:tcPr>
          <w:p>
            <w:pPr>
              <w:spacing w:after="0"/>
            </w:pPr>
            <w:r>
              <w:rPr>
                <w:sz w:val="18"/>
              </w:rPr>
              <w:t>The user enters the extension to process, such as .BRH, .BRT, or .CMC.</w:t>
            </w:r>
          </w:p>
        </w:tc>
      </w:tr>
      <w:tr>
        <w:tc>
          <w:tcPr>
            <w:tcW w:type="dxa" w:w="2160"/>
            <w:vAlign w:val="center"/>
            <w:tcMar>
              <w:top w:w="80" w:type="dxa"/>
              <w:start w:w="120" w:type="dxa"/>
              <w:bottom w:w="80" w:type="dxa"/>
              <w:end w:w="120" w:type="dxa"/>
            </w:tcMar>
          </w:tcPr>
          <w:p>
            <w:pPr>
              <w:spacing w:after="0"/>
            </w:pPr>
            <w:r>
              <w:rPr>
                <w:sz w:val="18"/>
              </w:rPr>
              <w:t>Matching files</w:t>
            </w:r>
          </w:p>
        </w:tc>
        <w:tc>
          <w:tcPr>
            <w:tcW w:type="dxa" w:w="7200"/>
            <w:vAlign w:val="center"/>
            <w:tcMar>
              <w:top w:w="80" w:type="dxa"/>
              <w:start w:w="120" w:type="dxa"/>
              <w:bottom w:w="80" w:type="dxa"/>
              <w:end w:w="120" w:type="dxa"/>
            </w:tcMar>
          </w:tcPr>
          <w:p>
            <w:pPr>
              <w:spacing w:after="0"/>
            </w:pPr>
            <w:r>
              <w:rPr>
                <w:sz w:val="18"/>
              </w:rPr>
              <w:t>Files whose names end with the selected extension are converted.</w:t>
            </w:r>
          </w:p>
        </w:tc>
      </w:tr>
      <w:tr>
        <w:tc>
          <w:tcPr>
            <w:tcW w:type="dxa" w:w="2160"/>
            <w:vAlign w:val="center"/>
            <w:tcMar>
              <w:top w:w="80" w:type="dxa"/>
              <w:start w:w="120" w:type="dxa"/>
              <w:bottom w:w="80" w:type="dxa"/>
              <w:end w:w="120" w:type="dxa"/>
            </w:tcMar>
          </w:tcPr>
          <w:p>
            <w:pPr>
              <w:spacing w:after="0"/>
            </w:pPr>
            <w:r>
              <w:rPr>
                <w:sz w:val="18"/>
              </w:rPr>
              <w:t>Output folder</w:t>
            </w:r>
          </w:p>
        </w:tc>
        <w:tc>
          <w:tcPr>
            <w:tcW w:type="dxa" w:w="7200"/>
            <w:vAlign w:val="center"/>
            <w:tcMar>
              <w:top w:w="80" w:type="dxa"/>
              <w:start w:w="120" w:type="dxa"/>
              <w:bottom w:w="80" w:type="dxa"/>
              <w:end w:w="120" w:type="dxa"/>
            </w:tcMar>
          </w:tcPr>
          <w:p>
            <w:pPr>
              <w:spacing w:after="0"/>
            </w:pPr>
            <w:r>
              <w:rPr>
                <w:sz w:val="18"/>
              </w:rPr>
              <w:t>A converted_excel folder is created inside the selected source folder.</w:t>
            </w:r>
          </w:p>
        </w:tc>
      </w:tr>
      <w:tr>
        <w:tc>
          <w:tcPr>
            <w:tcW w:type="dxa" w:w="2160"/>
            <w:vAlign w:val="center"/>
            <w:tcMar>
              <w:top w:w="80" w:type="dxa"/>
              <w:start w:w="120" w:type="dxa"/>
              <w:bottom w:w="80" w:type="dxa"/>
              <w:end w:w="120" w:type="dxa"/>
            </w:tcMar>
          </w:tcPr>
          <w:p>
            <w:pPr>
              <w:spacing w:after="0"/>
            </w:pPr>
            <w:r>
              <w:rPr>
                <w:sz w:val="18"/>
              </w:rPr>
              <w:t>Output files</w:t>
            </w:r>
          </w:p>
        </w:tc>
        <w:tc>
          <w:tcPr>
            <w:tcW w:type="dxa" w:w="7200"/>
            <w:vAlign w:val="center"/>
            <w:tcMar>
              <w:top w:w="80" w:type="dxa"/>
              <w:start w:w="120" w:type="dxa"/>
              <w:bottom w:w="80" w:type="dxa"/>
              <w:end w:w="120" w:type="dxa"/>
            </w:tcMar>
          </w:tcPr>
          <w:p>
            <w:pPr>
              <w:spacing w:after="0"/>
            </w:pPr>
            <w:r>
              <w:rPr>
                <w:sz w:val="18"/>
              </w:rPr>
              <w:t>Each converted file keeps its base name and receives the .xlsx extension.</w:t>
            </w:r>
          </w:p>
        </w:tc>
      </w:tr>
    </w:tbl>
    <w:p/>
    <w:p>
      <w:pPr>
        <w:pStyle w:val="Heading1"/>
      </w:pPr>
      <w:r>
        <w:t>Processing Flow</w:t>
      </w:r>
    </w:p>
    <w:p>
      <w:pPr>
        <w:pStyle w:val="ListBullet"/>
      </w:pPr>
      <w:r>
        <w:t>Open a folder picker and capture the selected folder with WHONET files.</w:t>
      </w:r>
    </w:p>
    <w:p>
      <w:pPr>
        <w:pStyle w:val="ListBullet"/>
      </w:pPr>
      <w:r>
        <w:t>Ask the user for the source file extension to process.</w:t>
      </w:r>
    </w:p>
    <w:p>
      <w:pPr>
        <w:pStyle w:val="ListBullet"/>
      </w:pPr>
      <w:r>
        <w:t>Normalize the extension to lowercase and add a leading dot if the user did not type one.</w:t>
      </w:r>
    </w:p>
    <w:p>
      <w:pPr>
        <w:pStyle w:val="ListBullet"/>
      </w:pPr>
      <w:r>
        <w:t>Create an output folder named converted_excel.</w:t>
      </w:r>
    </w:p>
    <w:p>
      <w:pPr>
        <w:pStyle w:val="ListBullet"/>
      </w:pPr>
      <w:r>
        <w:t>List files in the selected folder whose names end with the requested extension.</w:t>
      </w:r>
    </w:p>
    <w:p>
      <w:pPr>
        <w:pStyle w:val="ListBullet"/>
      </w:pPr>
      <w:r>
        <w:t>For each matching file, load the DBF table using dbfread.</w:t>
      </w:r>
    </w:p>
    <w:p>
      <w:pPr>
        <w:pStyle w:val="ListBullet"/>
      </w:pPr>
      <w:r>
        <w:t>Convert the DBF records into a pandas DataFrame.</w:t>
      </w:r>
    </w:p>
    <w:p>
      <w:pPr>
        <w:pStyle w:val="ListBullet"/>
      </w:pPr>
      <w:r>
        <w:t>Skip the file if the resulting DataFrame is empty.</w:t>
      </w:r>
    </w:p>
    <w:p>
      <w:pPr>
        <w:pStyle w:val="ListBullet"/>
      </w:pPr>
      <w:r>
        <w:t>Write the DataFrame to an Excel workbook without adding a pandas index column.</w:t>
      </w:r>
    </w:p>
    <w:p>
      <w:pPr>
        <w:pStyle w:val="Heading1"/>
      </w:pPr>
      <w:r>
        <w:t>Extension Handling</w:t>
      </w:r>
    </w:p>
    <w:p>
      <w:pPr>
        <w:pStyle w:val="BodyText"/>
      </w:pPr>
      <w:r>
        <w:t>The script accepts the extension from the user and normalizes it before searching for files. This makes .BRH, BRH, .brh, and brh behave the same way.</w:t>
      </w:r>
    </w:p>
    <w:p>
      <w:pPr>
        <w:spacing w:after="60"/>
      </w:pPr>
      <w:r>
        <w:rPr>
          <w:rFonts w:ascii="Consolas" w:hAnsi="Consolas" w:eastAsia="Consolas"/>
          <w:color w:val="1F4E79"/>
          <w:sz w:val="18"/>
        </w:rPr>
        <w:t>ext = input("Enter file extension to process...").strip().lower()</w:t>
      </w:r>
    </w:p>
    <w:p>
      <w:pPr>
        <w:spacing w:after="60"/>
      </w:pPr>
      <w:r>
        <w:rPr>
          <w:rFonts w:ascii="Consolas" w:hAnsi="Consolas" w:eastAsia="Consolas"/>
          <w:color w:val="1F4E79"/>
          <w:sz w:val="18"/>
        </w:rPr>
        <w:t>if not ext.startswith("."): ext = "." + ext</w:t>
      </w:r>
    </w:p>
    <w:p>
      <w:pPr>
        <w:pStyle w:val="BodyText"/>
      </w:pPr>
      <w:r>
        <w:t>When files are detected, their names are also lowercased for comparison. The original filename is still preserved when building the output name.</w:t>
      </w:r>
    </w:p>
    <w:p>
      <w:pPr>
        <w:spacing w:after="60"/>
      </w:pPr>
      <w:r>
        <w:rPr>
          <w:rFonts w:ascii="Consolas" w:hAnsi="Consolas" w:eastAsia="Consolas"/>
          <w:color w:val="1F4E79"/>
          <w:sz w:val="18"/>
        </w:rPr>
        <w:t>files = [f for f in os.listdir(folder_path) if f.lower().endswith(ext)]</w:t>
      </w:r>
    </w:p>
    <w:p>
      <w:pPr>
        <w:pStyle w:val="Heading1"/>
      </w:pPr>
      <w:r>
        <w:t>DBF Reading Logic</w:t>
      </w:r>
    </w:p>
    <w:p>
      <w:pPr>
        <w:pStyle w:val="BodyText"/>
      </w:pPr>
      <w:r>
        <w:t>Each matching source file is opened through dbfread.DBF. The script loads the records immediately, uses latin1 encoding, and ignores missing memo files.</w:t>
      </w:r>
    </w:p>
    <w:tbl>
      <w:tblPr>
        <w:tblStyle w:val="TableGrid"/>
        <w:tblW w:type="dxa" w:w="9360"/>
        <w:tblLook w:firstColumn="1" w:firstRow="1" w:lastColumn="0" w:lastRow="0" w:noHBand="0" w:noVBand="1" w:val="04A0"/>
        <w:tblInd w:w="120" w:type="dxa"/>
        <w:tblLayout w:type="fixed"/>
      </w:tblPr>
      <w:tblGrid>
        <w:gridCol w:w="2700"/>
        <w:gridCol w:w="6660"/>
      </w:tblGrid>
      <w:tr>
        <w:tc>
          <w:tcPr>
            <w:tcW w:type="dxa" w:w="2700"/>
            <w:shd w:fill="E8EEF5"/>
            <w:vAlign w:val="center"/>
            <w:tcMar>
              <w:top w:w="80" w:type="dxa"/>
              <w:start w:w="120" w:type="dxa"/>
              <w:bottom w:w="80" w:type="dxa"/>
              <w:end w:w="120" w:type="dxa"/>
            </w:tcMar>
          </w:tcPr>
          <w:p>
            <w:pPr>
              <w:spacing w:after="0"/>
            </w:pPr>
            <w:r>
              <w:rPr>
                <w:b/>
                <w:sz w:val="19"/>
              </w:rPr>
              <w:t>DBF option</w:t>
            </w:r>
          </w:p>
        </w:tc>
        <w:tc>
          <w:tcPr>
            <w:tcW w:type="dxa" w:w="6660"/>
            <w:shd w:fill="E8EEF5"/>
            <w:vAlign w:val="center"/>
            <w:tcMar>
              <w:top w:w="80" w:type="dxa"/>
              <w:start w:w="120" w:type="dxa"/>
              <w:bottom w:w="80" w:type="dxa"/>
              <w:end w:w="120" w:type="dxa"/>
            </w:tcMar>
          </w:tcPr>
          <w:p>
            <w:pPr>
              <w:spacing w:after="0"/>
            </w:pPr>
            <w:r>
              <w:rPr>
                <w:b/>
                <w:sz w:val="19"/>
              </w:rPr>
              <w:t>Reason or effect</w:t>
            </w:r>
          </w:p>
        </w:tc>
      </w:tr>
      <w:tr>
        <w:tc>
          <w:tcPr>
            <w:tcW w:type="dxa" w:w="2700"/>
            <w:vAlign w:val="center"/>
            <w:tcMar>
              <w:top w:w="80" w:type="dxa"/>
              <w:start w:w="120" w:type="dxa"/>
              <w:bottom w:w="80" w:type="dxa"/>
              <w:end w:w="120" w:type="dxa"/>
            </w:tcMar>
          </w:tcPr>
          <w:p>
            <w:pPr>
              <w:spacing w:after="0"/>
            </w:pPr>
            <w:r>
              <w:rPr>
                <w:sz w:val="18"/>
              </w:rPr>
              <w:t>load=True</w:t>
            </w:r>
          </w:p>
        </w:tc>
        <w:tc>
          <w:tcPr>
            <w:tcW w:type="dxa" w:w="6660"/>
            <w:vAlign w:val="center"/>
            <w:tcMar>
              <w:top w:w="80" w:type="dxa"/>
              <w:start w:w="120" w:type="dxa"/>
              <w:bottom w:w="80" w:type="dxa"/>
              <w:end w:w="120" w:type="dxa"/>
            </w:tcMar>
          </w:tcPr>
          <w:p>
            <w:pPr>
              <w:spacing w:after="0"/>
            </w:pPr>
            <w:r>
              <w:rPr>
                <w:sz w:val="18"/>
              </w:rPr>
              <w:t>Loads the table records into memory so they can be iterated into a DataFrame.</w:t>
            </w:r>
          </w:p>
        </w:tc>
      </w:tr>
      <w:tr>
        <w:tc>
          <w:tcPr>
            <w:tcW w:type="dxa" w:w="2700"/>
            <w:vAlign w:val="center"/>
            <w:tcMar>
              <w:top w:w="80" w:type="dxa"/>
              <w:start w:w="120" w:type="dxa"/>
              <w:bottom w:w="80" w:type="dxa"/>
              <w:end w:w="120" w:type="dxa"/>
            </w:tcMar>
          </w:tcPr>
          <w:p>
            <w:pPr>
              <w:spacing w:after="0"/>
            </w:pPr>
            <w:r>
              <w:rPr>
                <w:sz w:val="18"/>
              </w:rPr>
              <w:t>encoding='latin1'</w:t>
            </w:r>
          </w:p>
        </w:tc>
        <w:tc>
          <w:tcPr>
            <w:tcW w:type="dxa" w:w="6660"/>
            <w:vAlign w:val="center"/>
            <w:tcMar>
              <w:top w:w="80" w:type="dxa"/>
              <w:start w:w="120" w:type="dxa"/>
              <w:bottom w:w="80" w:type="dxa"/>
              <w:end w:w="120" w:type="dxa"/>
            </w:tcMar>
          </w:tcPr>
          <w:p>
            <w:pPr>
              <w:spacing w:after="0"/>
            </w:pPr>
            <w:r>
              <w:rPr>
                <w:sz w:val="18"/>
              </w:rPr>
              <w:t>Supports common extended characters that may appear in legacy WHONET/DBF data.</w:t>
            </w:r>
          </w:p>
        </w:tc>
      </w:tr>
      <w:tr>
        <w:tc>
          <w:tcPr>
            <w:tcW w:type="dxa" w:w="2700"/>
            <w:vAlign w:val="center"/>
            <w:tcMar>
              <w:top w:w="80" w:type="dxa"/>
              <w:start w:w="120" w:type="dxa"/>
              <w:bottom w:w="80" w:type="dxa"/>
              <w:end w:w="120" w:type="dxa"/>
            </w:tcMar>
          </w:tcPr>
          <w:p>
            <w:pPr>
              <w:spacing w:after="0"/>
            </w:pPr>
            <w:r>
              <w:rPr>
                <w:sz w:val="18"/>
              </w:rPr>
              <w:t>ignore_missing_memofile=True</w:t>
            </w:r>
          </w:p>
        </w:tc>
        <w:tc>
          <w:tcPr>
            <w:tcW w:type="dxa" w:w="6660"/>
            <w:vAlign w:val="center"/>
            <w:tcMar>
              <w:top w:w="80" w:type="dxa"/>
              <w:start w:w="120" w:type="dxa"/>
              <w:bottom w:w="80" w:type="dxa"/>
              <w:end w:w="120" w:type="dxa"/>
            </w:tcMar>
          </w:tcPr>
          <w:p>
            <w:pPr>
              <w:spacing w:after="0"/>
            </w:pPr>
            <w:r>
              <w:rPr>
                <w:sz w:val="18"/>
              </w:rPr>
              <w:t>Allows conversion to continue when an associated memo file is missing.</w:t>
            </w:r>
          </w:p>
        </w:tc>
      </w:tr>
    </w:tbl>
    <w:p/>
    <w:p>
      <w:pPr>
        <w:spacing w:after="60"/>
      </w:pPr>
      <w:r>
        <w:rPr>
          <w:rFonts w:ascii="Consolas" w:hAnsi="Consolas" w:eastAsia="Consolas"/>
          <w:color w:val="1F4E79"/>
          <w:sz w:val="18"/>
        </w:rPr>
        <w:t>table = DBF(file_path, load=True, encoding='latin1', ignore_missing_memofile=True)</w:t>
      </w:r>
    </w:p>
    <w:p>
      <w:pPr>
        <w:pStyle w:val="Heading1"/>
      </w:pPr>
      <w:r>
        <w:t>DataFrame Conversion</w:t>
      </w:r>
    </w:p>
    <w:p>
      <w:pPr>
        <w:pStyle w:val="BodyText"/>
      </w:pPr>
      <w:r>
        <w:t>The DBF table records are converted into a pandas DataFrame. Each DBF record becomes one row, and each DBF field becomes one DataFrame column.</w:t>
      </w:r>
    </w:p>
    <w:p>
      <w:pPr>
        <w:spacing w:after="60"/>
      </w:pPr>
      <w:r>
        <w:rPr>
          <w:rFonts w:ascii="Consolas" w:hAnsi="Consolas" w:eastAsia="Consolas"/>
          <w:color w:val="1F4E79"/>
          <w:sz w:val="18"/>
        </w:rPr>
        <w:t>df = pd.DataFrame(iter(table))</w:t>
      </w:r>
    </w:p>
    <w:p>
      <w:pPr>
        <w:pStyle w:val="BodyText"/>
      </w:pPr>
      <w:r>
        <w:t>If the DataFrame is empty, the script prints a warning and skips that file. This protects the output folder from empty or unsupported conversions.</w:t>
      </w:r>
    </w:p>
    <w:p>
      <w:pPr>
        <w:pStyle w:val="Heading1"/>
      </w:pPr>
      <w:r>
        <w:t>Excel Output Computation</w:t>
      </w:r>
    </w:p>
    <w:p>
      <w:pPr>
        <w:pStyle w:val="BodyText"/>
      </w:pPr>
      <w:r>
        <w:t>The output filename is computed from the original source filename by removing the original extension and adding .xlsx. This approach works regardless of whether the source extension was uppercase or lowercase.</w:t>
      </w:r>
    </w:p>
    <w:p>
      <w:pPr>
        <w:spacing w:after="60"/>
      </w:pPr>
      <w:r>
        <w:rPr>
          <w:rFonts w:ascii="Consolas" w:hAnsi="Consolas" w:eastAsia="Consolas"/>
          <w:color w:val="1F4E79"/>
          <w:sz w:val="18"/>
        </w:rPr>
        <w:t>output_name = os.path.splitext(file)[0] + ".xlsx"</w:t>
      </w:r>
    </w:p>
    <w:p>
      <w:pPr>
        <w:spacing w:after="60"/>
      </w:pPr>
      <w:r>
        <w:rPr>
          <w:rFonts w:ascii="Consolas" w:hAnsi="Consolas" w:eastAsia="Consolas"/>
          <w:color w:val="1F4E79"/>
          <w:sz w:val="18"/>
        </w:rPr>
        <w:t>df.to_excel(output_file, index=False)</w:t>
      </w:r>
    </w:p>
    <w:tbl>
      <w:tblPr>
        <w:tblStyle w:val="TableGrid"/>
        <w:tblW w:type="dxa" w:w="9360"/>
        <w:tblLook w:firstColumn="1" w:firstRow="1" w:lastColumn="0" w:lastRow="0" w:noHBand="0" w:noVBand="1" w:val="04A0"/>
        <w:tblInd w:w="120" w:type="dxa"/>
        <w:tblLayout w:type="fixed"/>
      </w:tblPr>
      <w:tblGrid>
        <w:gridCol w:w="3960"/>
        <w:gridCol w:w="5400"/>
      </w:tblGrid>
      <w:tr>
        <w:tc>
          <w:tcPr>
            <w:tcW w:type="dxa" w:w="3960"/>
            <w:shd w:fill="E8EEF5"/>
            <w:vAlign w:val="center"/>
            <w:tcMar>
              <w:top w:w="80" w:type="dxa"/>
              <w:start w:w="120" w:type="dxa"/>
              <w:bottom w:w="80" w:type="dxa"/>
              <w:end w:w="120" w:type="dxa"/>
            </w:tcMar>
          </w:tcPr>
          <w:p>
            <w:pPr>
              <w:spacing w:after="0"/>
            </w:pPr>
            <w:r>
              <w:rPr>
                <w:b/>
                <w:sz w:val="19"/>
              </w:rPr>
              <w:t>Source example</w:t>
            </w:r>
          </w:p>
        </w:tc>
        <w:tc>
          <w:tcPr>
            <w:tcW w:type="dxa" w:w="5400"/>
            <w:shd w:fill="E8EEF5"/>
            <w:vAlign w:val="center"/>
            <w:tcMar>
              <w:top w:w="80" w:type="dxa"/>
              <w:start w:w="120" w:type="dxa"/>
              <w:bottom w:w="80" w:type="dxa"/>
              <w:end w:w="120" w:type="dxa"/>
            </w:tcMar>
          </w:tcPr>
          <w:p>
            <w:pPr>
              <w:spacing w:after="0"/>
            </w:pPr>
            <w:r>
              <w:rPr>
                <w:b/>
                <w:sz w:val="19"/>
              </w:rPr>
              <w:t>Output example</w:t>
            </w:r>
          </w:p>
        </w:tc>
      </w:tr>
      <w:tr>
        <w:tc>
          <w:tcPr>
            <w:tcW w:type="dxa" w:w="3960"/>
            <w:vAlign w:val="center"/>
            <w:tcMar>
              <w:top w:w="80" w:type="dxa"/>
              <w:start w:w="120" w:type="dxa"/>
              <w:bottom w:w="80" w:type="dxa"/>
              <w:end w:w="120" w:type="dxa"/>
            </w:tcMar>
          </w:tcPr>
          <w:p>
            <w:pPr>
              <w:spacing w:after="0"/>
            </w:pPr>
            <w:r>
              <w:rPr>
                <w:sz w:val="18"/>
              </w:rPr>
              <w:t>W0125PHL.BRH</w:t>
            </w:r>
          </w:p>
        </w:tc>
        <w:tc>
          <w:tcPr>
            <w:tcW w:type="dxa" w:w="5400"/>
            <w:vAlign w:val="center"/>
            <w:tcMar>
              <w:top w:w="80" w:type="dxa"/>
              <w:start w:w="120" w:type="dxa"/>
              <w:bottom w:w="80" w:type="dxa"/>
              <w:end w:w="120" w:type="dxa"/>
            </w:tcMar>
          </w:tcPr>
          <w:p>
            <w:pPr>
              <w:spacing w:after="0"/>
            </w:pPr>
            <w:r>
              <w:rPr>
                <w:sz w:val="18"/>
              </w:rPr>
              <w:t>converted_excel\W0125PHL.xlsx</w:t>
            </w:r>
          </w:p>
        </w:tc>
      </w:tr>
      <w:tr>
        <w:tc>
          <w:tcPr>
            <w:tcW w:type="dxa" w:w="3960"/>
            <w:vAlign w:val="center"/>
            <w:tcMar>
              <w:top w:w="80" w:type="dxa"/>
              <w:start w:w="120" w:type="dxa"/>
              <w:bottom w:w="80" w:type="dxa"/>
              <w:end w:w="120" w:type="dxa"/>
            </w:tcMar>
          </w:tcPr>
          <w:p>
            <w:pPr>
              <w:spacing w:after="0"/>
            </w:pPr>
            <w:r>
              <w:rPr>
                <w:sz w:val="18"/>
              </w:rPr>
              <w:t>W0225PHL.brt</w:t>
            </w:r>
          </w:p>
        </w:tc>
        <w:tc>
          <w:tcPr>
            <w:tcW w:type="dxa" w:w="5400"/>
            <w:vAlign w:val="center"/>
            <w:tcMar>
              <w:top w:w="80" w:type="dxa"/>
              <w:start w:w="120" w:type="dxa"/>
              <w:bottom w:w="80" w:type="dxa"/>
              <w:end w:w="120" w:type="dxa"/>
            </w:tcMar>
          </w:tcPr>
          <w:p>
            <w:pPr>
              <w:spacing w:after="0"/>
            </w:pPr>
            <w:r>
              <w:rPr>
                <w:sz w:val="18"/>
              </w:rPr>
              <w:t>converted_excel\W0225PHL.xlsx</w:t>
            </w:r>
          </w:p>
        </w:tc>
      </w:tr>
      <w:tr>
        <w:tc>
          <w:tcPr>
            <w:tcW w:type="dxa" w:w="3960"/>
            <w:vAlign w:val="center"/>
            <w:tcMar>
              <w:top w:w="80" w:type="dxa"/>
              <w:start w:w="120" w:type="dxa"/>
              <w:bottom w:w="80" w:type="dxa"/>
              <w:end w:w="120" w:type="dxa"/>
            </w:tcMar>
          </w:tcPr>
          <w:p>
            <w:pPr>
              <w:spacing w:after="0"/>
            </w:pPr>
            <w:r>
              <w:rPr>
                <w:sz w:val="18"/>
              </w:rPr>
              <w:t>sample.CMC</w:t>
            </w:r>
          </w:p>
        </w:tc>
        <w:tc>
          <w:tcPr>
            <w:tcW w:type="dxa" w:w="5400"/>
            <w:vAlign w:val="center"/>
            <w:tcMar>
              <w:top w:w="80" w:type="dxa"/>
              <w:start w:w="120" w:type="dxa"/>
              <w:bottom w:w="80" w:type="dxa"/>
              <w:end w:w="120" w:type="dxa"/>
            </w:tcMar>
          </w:tcPr>
          <w:p>
            <w:pPr>
              <w:spacing w:after="0"/>
            </w:pPr>
            <w:r>
              <w:rPr>
                <w:sz w:val="18"/>
              </w:rPr>
              <w:t>converted_excel\sample.xlsx</w:t>
            </w:r>
          </w:p>
        </w:tc>
      </w:tr>
    </w:tbl>
    <w:p/>
    <w:p>
      <w:pPr>
        <w:pStyle w:val="Heading1"/>
      </w:pPr>
      <w:r>
        <w:t>What Is Preserved</w:t>
      </w:r>
    </w:p>
    <w:p>
      <w:pPr>
        <w:pStyle w:val="ListBullet"/>
      </w:pPr>
      <w:r>
        <w:t>All DBF fields that dbfread can read become Excel columns.</w:t>
      </w:r>
    </w:p>
    <w:p>
      <w:pPr>
        <w:pStyle w:val="ListBullet"/>
      </w:pPr>
      <w:r>
        <w:t>All loaded DBF records become Excel rows.</w:t>
      </w:r>
    </w:p>
    <w:p>
      <w:pPr>
        <w:pStyle w:val="ListBullet"/>
      </w:pPr>
      <w:r>
        <w:t>The source base filename is preserved in the output workbook name.</w:t>
      </w:r>
    </w:p>
    <w:p>
      <w:pPr>
        <w:pStyle w:val="ListBullet"/>
      </w:pPr>
      <w:r>
        <w:t>The pandas index is not written, so the Excel file contains only source data columns.</w:t>
      </w:r>
    </w:p>
    <w:p>
      <w:pPr>
        <w:pStyle w:val="Heading1"/>
      </w:pPr>
      <w:r>
        <w:t>Error Handling</w:t>
      </w:r>
    </w:p>
    <w:p>
      <w:pPr>
        <w:pStyle w:val="BodyText"/>
      </w:pPr>
      <w:r>
        <w:t>The script wraps each individual file conversion in a try/except block. If one file fails, the error is printed and the loop continues with the next matching file.</w:t>
      </w:r>
    </w:p>
    <w:p>
      <w:pPr>
        <w:pStyle w:val="BodyText"/>
      </w:pPr>
      <w:r>
        <w:t>The script exits earlier if no folder is selected or if no files match the requested extension. This prevents unnecessary output folders or empty conversion runs.</w:t>
      </w:r>
    </w:p>
    <w:p>
      <w:pPr>
        <w:pStyle w:val="Heading1"/>
      </w:pPr>
      <w:r>
        <w:t>Worked Example</w:t>
      </w:r>
    </w:p>
    <w:p>
      <w:pPr>
        <w:pStyle w:val="BodyText"/>
      </w:pPr>
      <w:r>
        <w:t>Suppose the user selects a folder containing W0125PHL.BRH and W0225PHL.BRH, then enters BRH as the extension. The script normalizes BRH to .brh, finds both files using case-insensitive extension matching, reads each DBF table, and writes W0125PHL.xlsx and W0225PHL.xlsx into converted_excel.</w:t>
      </w:r>
    </w:p>
    <w:p>
      <w:pPr>
        <w:pStyle w:val="BodyText"/>
      </w:pPr>
      <w:r>
        <w:t>If W0225PHL.BRH cannot be read, the script prints an error for that file but can still save the converted output for W0125PHL.BRH.</w:t>
      </w:r>
    </w:p>
    <w:p>
      <w:pPr>
        <w:pStyle w:val="Heading1"/>
      </w:pPr>
      <w:r>
        <w:t>Important Notes and Watch Points</w:t>
      </w:r>
    </w:p>
    <w:p>
      <w:pPr>
        <w:pStyle w:val="ListBullet"/>
      </w:pPr>
      <w:r>
        <w:t>This script performs conversion only; it does not clean, filter, summarize, or calculate performance indicators.</w:t>
      </w:r>
    </w:p>
    <w:p>
      <w:pPr>
        <w:pStyle w:val="ListBullet"/>
      </w:pPr>
      <w:r>
        <w:t>Only files in the selected folder itself are checked. The script does not recursively search subfolders.</w:t>
      </w:r>
    </w:p>
    <w:p>
      <w:pPr>
        <w:pStyle w:val="ListBullet"/>
      </w:pPr>
      <w:r>
        <w:t>The extension filter is case-insensitive, but it processes only one extension per run.</w:t>
      </w:r>
    </w:p>
    <w:p>
      <w:pPr>
        <w:pStyle w:val="ListBullet"/>
      </w:pPr>
      <w:r>
        <w:t>Output files with the same base name can be overwritten if the conversion is run again.</w:t>
      </w:r>
    </w:p>
    <w:p>
      <w:pPr>
        <w:pStyle w:val="ListBullet"/>
      </w:pPr>
      <w:r>
        <w:t>The converted_excel folder is created automatically if it does not already exist.</w:t>
      </w:r>
    </w:p>
    <w:p>
      <w:pPr>
        <w:pStyle w:val="ListBullet"/>
      </w:pPr>
      <w:r>
        <w:t>Using ignore_missing_memofile=True can allow conversion despite missing memo files, but memo-field content may be incomplete depending on the source file.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