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0"/>
        </w:rPr>
        <w:t>Context and Detailed Computation Guide for conso_demogs.py</w:t>
      </w:r>
    </w:p>
    <w:p>
      <w:pPr>
        <w:spacing w:after="240"/>
      </w:pPr>
      <w:r>
        <w:rPr>
          <w:color w:val="555555"/>
          <w:sz w:val="18"/>
        </w:rPr>
        <w:t>Source folder: D:\PROGRAMMING\TESTINGS\Tools_backup\annual_perf_eval\annual_performance_reports\3_2_conso_demogs_result</w:t>
      </w:r>
    </w:p>
    <w:p>
      <w:pPr>
        <w:pStyle w:val="Heading1"/>
      </w:pPr>
      <w:r>
        <w:t>Purpose and Context</w:t>
      </w:r>
    </w:p>
    <w:p>
      <w:pPr>
        <w:pStyle w:val="BodyText"/>
      </w:pPr>
      <w:r>
        <w:t>The script consolidates site-level demographics completeness reports into one summary workbook. It is intended to run after individual completeness reports have already been generated by the demographics completeness script.</w:t>
      </w:r>
    </w:p>
    <w:p>
      <w:pPr>
        <w:pStyle w:val="BodyText"/>
      </w:pPr>
      <w:r>
        <w:t>Each input workbook is expected to contain a Monthly Average sheet. The script extracts monthly average completeness values from every site report, aligns them by calendar month, and computes cross-site and overall averages.</w:t>
      </w:r>
    </w:p>
    <w:p>
      <w:pPr>
        <w:pStyle w:val="Heading1"/>
      </w:pPr>
      <w:r>
        <w:t>Input and Output</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shd w:fill="E8EEF5"/>
            <w:vAlign w:val="center"/>
            <w:tcMar>
              <w:top w:w="80" w:type="dxa"/>
              <w:start w:w="120" w:type="dxa"/>
              <w:bottom w:w="80" w:type="dxa"/>
              <w:end w:w="120" w:type="dxa"/>
            </w:tcMar>
          </w:tcPr>
          <w:p>
            <w:pPr>
              <w:spacing w:after="0"/>
            </w:pPr>
            <w:r>
              <w:rPr>
                <w:b/>
                <w:sz w:val="19"/>
              </w:rPr>
              <w:t>Item</w:t>
            </w:r>
          </w:p>
        </w:tc>
        <w:tc>
          <w:tcPr>
            <w:tcW w:type="dxa" w:w="7200"/>
            <w:shd w:fill="E8EEF5"/>
            <w:vAlign w:val="center"/>
            <w:tcMar>
              <w:top w:w="80" w:type="dxa"/>
              <w:start w:w="120" w:type="dxa"/>
              <w:bottom w:w="80" w:type="dxa"/>
              <w:end w:w="120" w:type="dxa"/>
            </w:tcMar>
          </w:tcPr>
          <w:p>
            <w:pPr>
              <w:spacing w:after="0"/>
            </w:pPr>
            <w:r>
              <w:rPr>
                <w:b/>
                <w:sz w:val="19"/>
              </w:rPr>
              <w:t>How the script uses it</w:t>
            </w:r>
          </w:p>
        </w:tc>
      </w:tr>
      <w:tr>
        <w:tc>
          <w:tcPr>
            <w:tcW w:type="dxa" w:w="2160"/>
            <w:vAlign w:val="center"/>
            <w:tcMar>
              <w:top w:w="80" w:type="dxa"/>
              <w:start w:w="120" w:type="dxa"/>
              <w:bottom w:w="80" w:type="dxa"/>
              <w:end w:w="120" w:type="dxa"/>
            </w:tcMar>
          </w:tcPr>
          <w:p>
            <w:pPr>
              <w:spacing w:after="0"/>
            </w:pPr>
            <w:r>
              <w:rPr>
                <w:sz w:val="18"/>
              </w:rPr>
              <w:t>Selected folder</w:t>
            </w:r>
          </w:p>
        </w:tc>
        <w:tc>
          <w:tcPr>
            <w:tcW w:type="dxa" w:w="7200"/>
            <w:vAlign w:val="center"/>
            <w:tcMar>
              <w:top w:w="80" w:type="dxa"/>
              <w:start w:w="120" w:type="dxa"/>
              <w:bottom w:w="80" w:type="dxa"/>
              <w:end w:w="120" w:type="dxa"/>
            </w:tcMar>
          </w:tcPr>
          <w:p>
            <w:pPr>
              <w:spacing w:after="0"/>
            </w:pPr>
            <w:r>
              <w:rPr>
                <w:sz w:val="18"/>
              </w:rPr>
              <w:t>The user selects a folder containing completeness report workbooks.</w:t>
            </w:r>
          </w:p>
        </w:tc>
      </w:tr>
      <w:tr>
        <w:tc>
          <w:tcPr>
            <w:tcW w:type="dxa" w:w="2160"/>
            <w:vAlign w:val="center"/>
            <w:tcMar>
              <w:top w:w="80" w:type="dxa"/>
              <w:start w:w="120" w:type="dxa"/>
              <w:bottom w:w="80" w:type="dxa"/>
              <w:end w:w="120" w:type="dxa"/>
            </w:tcMar>
          </w:tcPr>
          <w:p>
            <w:pPr>
              <w:spacing w:after="0"/>
            </w:pPr>
            <w:r>
              <w:rPr>
                <w:sz w:val="18"/>
              </w:rPr>
              <w:t>Input files</w:t>
            </w:r>
          </w:p>
        </w:tc>
        <w:tc>
          <w:tcPr>
            <w:tcW w:type="dxa" w:w="7200"/>
            <w:vAlign w:val="center"/>
            <w:tcMar>
              <w:top w:w="80" w:type="dxa"/>
              <w:start w:w="120" w:type="dxa"/>
              <w:bottom w:w="80" w:type="dxa"/>
              <w:end w:w="120" w:type="dxa"/>
            </w:tcMar>
          </w:tcPr>
          <w:p>
            <w:pPr>
              <w:spacing w:after="0"/>
            </w:pPr>
            <w:r>
              <w:rPr>
                <w:sz w:val="18"/>
              </w:rPr>
              <w:t>Only files starting with completeness_report_ and ending with .xlsx are processed.</w:t>
            </w:r>
          </w:p>
        </w:tc>
      </w:tr>
      <w:tr>
        <w:tc>
          <w:tcPr>
            <w:tcW w:type="dxa" w:w="2160"/>
            <w:vAlign w:val="center"/>
            <w:tcMar>
              <w:top w:w="80" w:type="dxa"/>
              <w:start w:w="120" w:type="dxa"/>
              <w:bottom w:w="80" w:type="dxa"/>
              <w:end w:w="120" w:type="dxa"/>
            </w:tcMar>
          </w:tcPr>
          <w:p>
            <w:pPr>
              <w:spacing w:after="0"/>
            </w:pPr>
            <w:r>
              <w:rPr>
                <w:sz w:val="18"/>
              </w:rPr>
              <w:t>Monthly Average sheet</w:t>
            </w:r>
          </w:p>
        </w:tc>
        <w:tc>
          <w:tcPr>
            <w:tcW w:type="dxa" w:w="7200"/>
            <w:vAlign w:val="center"/>
            <w:tcMar>
              <w:top w:w="80" w:type="dxa"/>
              <w:start w:w="120" w:type="dxa"/>
              <w:bottom w:w="80" w:type="dxa"/>
              <w:end w:w="120" w:type="dxa"/>
            </w:tcMar>
          </w:tcPr>
          <w:p>
            <w:pPr>
              <w:spacing w:after="0"/>
            </w:pPr>
            <w:r>
              <w:rPr>
                <w:sz w:val="18"/>
              </w:rPr>
              <w:t>Read from each input workbook using the first column as the index.</w:t>
            </w:r>
          </w:p>
        </w:tc>
      </w:tr>
      <w:tr>
        <w:tc>
          <w:tcPr>
            <w:tcW w:type="dxa" w:w="2160"/>
            <w:vAlign w:val="center"/>
            <w:tcMar>
              <w:top w:w="80" w:type="dxa"/>
              <w:start w:w="120" w:type="dxa"/>
              <w:bottom w:w="80" w:type="dxa"/>
              <w:end w:w="120" w:type="dxa"/>
            </w:tcMar>
          </w:tcPr>
          <w:p>
            <w:pPr>
              <w:spacing w:after="0"/>
            </w:pPr>
            <w:r>
              <w:rPr>
                <w:sz w:val="18"/>
              </w:rPr>
              <w:t>Site name</w:t>
            </w:r>
          </w:p>
        </w:tc>
        <w:tc>
          <w:tcPr>
            <w:tcW w:type="dxa" w:w="7200"/>
            <w:vAlign w:val="center"/>
            <w:tcMar>
              <w:top w:w="80" w:type="dxa"/>
              <w:start w:w="120" w:type="dxa"/>
              <w:bottom w:w="80" w:type="dxa"/>
              <w:end w:w="120" w:type="dxa"/>
            </w:tcMar>
          </w:tcPr>
          <w:p>
            <w:pPr>
              <w:spacing w:after="0"/>
            </w:pPr>
            <w:r>
              <w:rPr>
                <w:sz w:val="18"/>
              </w:rPr>
              <w:t>Derived from the filename by removing completeness_report_ and .xlsx, then uppercasing it.</w:t>
            </w:r>
          </w:p>
        </w:tc>
      </w:tr>
      <w:tr>
        <w:tc>
          <w:tcPr>
            <w:tcW w:type="dxa" w:w="2160"/>
            <w:vAlign w:val="center"/>
            <w:tcMar>
              <w:top w:w="80" w:type="dxa"/>
              <w:start w:w="120" w:type="dxa"/>
              <w:bottom w:w="80" w:type="dxa"/>
              <w:end w:w="120" w:type="dxa"/>
            </w:tcMar>
          </w:tcPr>
          <w:p>
            <w:pPr>
              <w:spacing w:after="0"/>
            </w:pPr>
            <w:r>
              <w:rPr>
                <w:sz w:val="18"/>
              </w:rPr>
              <w:t>Output workbook</w:t>
            </w:r>
          </w:p>
        </w:tc>
        <w:tc>
          <w:tcPr>
            <w:tcW w:type="dxa" w:w="7200"/>
            <w:vAlign w:val="center"/>
            <w:tcMar>
              <w:top w:w="80" w:type="dxa"/>
              <w:start w:w="120" w:type="dxa"/>
              <w:bottom w:w="80" w:type="dxa"/>
              <w:end w:w="120" w:type="dxa"/>
            </w:tcMar>
          </w:tcPr>
          <w:p>
            <w:pPr>
              <w:spacing w:after="0"/>
            </w:pPr>
            <w:r>
              <w:rPr>
                <w:sz w:val="18"/>
              </w:rPr>
              <w:t>Saved in the selected folder as completeness_consolidated.xlsx.</w:t>
            </w:r>
          </w:p>
        </w:tc>
      </w:tr>
    </w:tbl>
    <w:p/>
    <w:p>
      <w:pPr>
        <w:pStyle w:val="Heading1"/>
      </w:pPr>
      <w:r>
        <w:t>Processing Flow</w:t>
      </w:r>
    </w:p>
    <w:p>
      <w:pPr>
        <w:pStyle w:val="ListBullet"/>
      </w:pPr>
      <w:r>
        <w:t>Open a folder picker and capture the folder containing completeness reports.</w:t>
      </w:r>
    </w:p>
    <w:p>
      <w:pPr>
        <w:pStyle w:val="ListBullet"/>
      </w:pPr>
      <w:r>
        <w:t>List files named completeness_report_*.xlsx.</w:t>
      </w:r>
    </w:p>
    <w:p>
      <w:pPr>
        <w:pStyle w:val="ListBullet"/>
      </w:pPr>
      <w:r>
        <w:t>For each report, derive the site code from the filename.</w:t>
      </w:r>
    </w:p>
    <w:p>
      <w:pPr>
        <w:pStyle w:val="ListBullet"/>
      </w:pPr>
      <w:r>
        <w:t>Read the Monthly Average sheet from the workbook.</w:t>
      </w:r>
    </w:p>
    <w:p>
      <w:pPr>
        <w:pStyle w:val="ListBullet"/>
      </w:pPr>
      <w:r>
        <w:t>Extract values for January through December in fixed calendar order.</w:t>
      </w:r>
    </w:p>
    <w:p>
      <w:pPr>
        <w:pStyle w:val="ListBullet"/>
      </w:pPr>
      <w:r>
        <w:t>Store each site's monthly values in a consolidated dictionary.</w:t>
      </w:r>
    </w:p>
    <w:p>
      <w:pPr>
        <w:pStyle w:val="ListBullet"/>
      </w:pPr>
      <w:r>
        <w:t>Convert the dictionary into a DataFrame where months are rows and sites are columns.</w:t>
      </w:r>
    </w:p>
    <w:p>
      <w:pPr>
        <w:pStyle w:val="ListBullet"/>
      </w:pPr>
      <w:r>
        <w:t>Compute a % Average column across sites for each month.</w:t>
      </w:r>
    </w:p>
    <w:p>
      <w:pPr>
        <w:pStyle w:val="ListBullet"/>
      </w:pPr>
      <w:r>
        <w:t>Compute a Monthly Average bottom row across months for each site.</w:t>
      </w:r>
    </w:p>
    <w:p>
      <w:pPr>
        <w:pStyle w:val="ListBullet"/>
      </w:pPr>
      <w:r>
        <w:t>Write the final summary to completeness_consolidated.xlsx.</w:t>
      </w:r>
    </w:p>
    <w:p>
      <w:pPr>
        <w:pStyle w:val="Heading1"/>
      </w:pPr>
      <w:r>
        <w:t>Input File Detection</w:t>
      </w:r>
    </w:p>
    <w:p>
      <w:pPr>
        <w:pStyle w:val="BodyText"/>
      </w:pPr>
      <w:r>
        <w:t>The script processes only files that match the naming convention used by the earlier demographics completeness report generator.</w:t>
      </w:r>
    </w:p>
    <w:p>
      <w:pPr>
        <w:spacing w:after="60"/>
      </w:pPr>
      <w:r>
        <w:rPr>
          <w:rFonts w:ascii="Consolas" w:hAnsi="Consolas" w:eastAsia="Consolas"/>
          <w:color w:val="1F4E79"/>
          <w:sz w:val="18"/>
        </w:rPr>
        <w:t>files = [f for f in os.listdir(folder_path) if f.startswith("completeness_report_") and f.endswith(".xlsx")]</w:t>
      </w:r>
    </w:p>
    <w:p>
      <w:pPr>
        <w:pStyle w:val="BodyText"/>
      </w:pPr>
      <w:r>
        <w:t>This naming rule prevents unrelated Excel files from being included, but it also means reports with different names will be ignored.</w:t>
      </w:r>
    </w:p>
    <w:p>
      <w:pPr>
        <w:pStyle w:val="Heading1"/>
      </w:pPr>
      <w:r>
        <w:t>Site Code Extraction</w:t>
      </w:r>
    </w:p>
    <w:p>
      <w:pPr>
        <w:pStyle w:val="BodyText"/>
      </w:pPr>
      <w:r>
        <w:t>The site label is computed from the filename. The script removes the standard prefix and file extension, then converts the remaining text to uppercase.</w:t>
      </w:r>
    </w:p>
    <w:p>
      <w:pPr>
        <w:spacing w:after="60"/>
      </w:pPr>
      <w:r>
        <w:rPr>
          <w:rFonts w:ascii="Consolas" w:hAnsi="Consolas" w:eastAsia="Consolas"/>
          <w:color w:val="1F4E79"/>
          <w:sz w:val="18"/>
        </w:rPr>
        <w:t>site = file.replace("completeness_report_", "").replace(".xlsx", "").upper()</w:t>
      </w:r>
    </w:p>
    <w:tbl>
      <w:tblPr>
        <w:tblStyle w:val="TableGrid"/>
        <w:tblW w:type="dxa" w:w="9360"/>
        <w:tblLook w:firstColumn="1" w:firstRow="1" w:lastColumn="0" w:lastRow="0" w:noHBand="0" w:noVBand="1" w:val="04A0"/>
        <w:tblInd w:w="120" w:type="dxa"/>
        <w:tblLayout w:type="fixed"/>
      </w:tblPr>
      <w:tblGrid>
        <w:gridCol w:w="4320"/>
        <w:gridCol w:w="5040"/>
      </w:tblGrid>
      <w:tr>
        <w:tc>
          <w:tcPr>
            <w:tcW w:type="dxa" w:w="4320"/>
            <w:shd w:fill="E8EEF5"/>
            <w:vAlign w:val="center"/>
            <w:tcMar>
              <w:top w:w="80" w:type="dxa"/>
              <w:start w:w="120" w:type="dxa"/>
              <w:bottom w:w="80" w:type="dxa"/>
              <w:end w:w="120" w:type="dxa"/>
            </w:tcMar>
          </w:tcPr>
          <w:p>
            <w:pPr>
              <w:spacing w:after="0"/>
            </w:pPr>
            <w:r>
              <w:rPr>
                <w:b/>
                <w:sz w:val="19"/>
              </w:rPr>
              <w:t>Input filename</w:t>
            </w:r>
          </w:p>
        </w:tc>
        <w:tc>
          <w:tcPr>
            <w:tcW w:type="dxa" w:w="5040"/>
            <w:shd w:fill="E8EEF5"/>
            <w:vAlign w:val="center"/>
            <w:tcMar>
              <w:top w:w="80" w:type="dxa"/>
              <w:start w:w="120" w:type="dxa"/>
              <w:bottom w:w="80" w:type="dxa"/>
              <w:end w:w="120" w:type="dxa"/>
            </w:tcMar>
          </w:tcPr>
          <w:p>
            <w:pPr>
              <w:spacing w:after="0"/>
            </w:pPr>
            <w:r>
              <w:rPr>
                <w:b/>
                <w:sz w:val="19"/>
              </w:rPr>
              <w:t>Derived site column</w:t>
            </w:r>
          </w:p>
        </w:tc>
      </w:tr>
      <w:tr>
        <w:tc>
          <w:tcPr>
            <w:tcW w:type="dxa" w:w="4320"/>
            <w:vAlign w:val="center"/>
            <w:tcMar>
              <w:top w:w="80" w:type="dxa"/>
              <w:start w:w="120" w:type="dxa"/>
              <w:bottom w:w="80" w:type="dxa"/>
              <w:end w:w="120" w:type="dxa"/>
            </w:tcMar>
          </w:tcPr>
          <w:p>
            <w:pPr>
              <w:spacing w:after="0"/>
            </w:pPr>
            <w:r>
              <w:rPr>
                <w:sz w:val="18"/>
              </w:rPr>
              <w:t>completeness_report_abc.xlsx</w:t>
            </w:r>
          </w:p>
        </w:tc>
        <w:tc>
          <w:tcPr>
            <w:tcW w:type="dxa" w:w="5040"/>
            <w:vAlign w:val="center"/>
            <w:tcMar>
              <w:top w:w="80" w:type="dxa"/>
              <w:start w:w="120" w:type="dxa"/>
              <w:bottom w:w="80" w:type="dxa"/>
              <w:end w:w="120" w:type="dxa"/>
            </w:tcMar>
          </w:tcPr>
          <w:p>
            <w:pPr>
              <w:spacing w:after="0"/>
            </w:pPr>
            <w:r>
              <w:rPr>
                <w:sz w:val="18"/>
              </w:rPr>
              <w:t>ABC</w:t>
            </w:r>
          </w:p>
        </w:tc>
      </w:tr>
      <w:tr>
        <w:tc>
          <w:tcPr>
            <w:tcW w:type="dxa" w:w="4320"/>
            <w:vAlign w:val="center"/>
            <w:tcMar>
              <w:top w:w="80" w:type="dxa"/>
              <w:start w:w="120" w:type="dxa"/>
              <w:bottom w:w="80" w:type="dxa"/>
              <w:end w:w="120" w:type="dxa"/>
            </w:tcMar>
          </w:tcPr>
          <w:p>
            <w:pPr>
              <w:spacing w:after="0"/>
            </w:pPr>
            <w:r>
              <w:rPr>
                <w:sz w:val="18"/>
              </w:rPr>
              <w:t>completeness_report_phl01.xlsx</w:t>
            </w:r>
          </w:p>
        </w:tc>
        <w:tc>
          <w:tcPr>
            <w:tcW w:type="dxa" w:w="5040"/>
            <w:vAlign w:val="center"/>
            <w:tcMar>
              <w:top w:w="80" w:type="dxa"/>
              <w:start w:w="120" w:type="dxa"/>
              <w:bottom w:w="80" w:type="dxa"/>
              <w:end w:w="120" w:type="dxa"/>
            </w:tcMar>
          </w:tcPr>
          <w:p>
            <w:pPr>
              <w:spacing w:after="0"/>
            </w:pPr>
            <w:r>
              <w:rPr>
                <w:sz w:val="18"/>
              </w:rPr>
              <w:t>PHL01</w:t>
            </w:r>
          </w:p>
        </w:tc>
      </w:tr>
      <w:tr>
        <w:tc>
          <w:tcPr>
            <w:tcW w:type="dxa" w:w="4320"/>
            <w:vAlign w:val="center"/>
            <w:tcMar>
              <w:top w:w="80" w:type="dxa"/>
              <w:start w:w="120" w:type="dxa"/>
              <w:bottom w:w="80" w:type="dxa"/>
              <w:end w:w="120" w:type="dxa"/>
            </w:tcMar>
          </w:tcPr>
          <w:p>
            <w:pPr>
              <w:spacing w:after="0"/>
            </w:pPr>
            <w:r>
              <w:rPr>
                <w:sz w:val="18"/>
              </w:rPr>
              <w:t>completeness_report_unknown.xlsx</w:t>
            </w:r>
          </w:p>
        </w:tc>
        <w:tc>
          <w:tcPr>
            <w:tcW w:type="dxa" w:w="5040"/>
            <w:vAlign w:val="center"/>
            <w:tcMar>
              <w:top w:w="80" w:type="dxa"/>
              <w:start w:w="120" w:type="dxa"/>
              <w:bottom w:w="80" w:type="dxa"/>
              <w:end w:w="120" w:type="dxa"/>
            </w:tcMar>
          </w:tcPr>
          <w:p>
            <w:pPr>
              <w:spacing w:after="0"/>
            </w:pPr>
            <w:r>
              <w:rPr>
                <w:sz w:val="18"/>
              </w:rPr>
              <w:t>UNKNOWN</w:t>
            </w:r>
          </w:p>
        </w:tc>
      </w:tr>
    </w:tbl>
    <w:p/>
    <w:p>
      <w:pPr>
        <w:pStyle w:val="Heading1"/>
      </w:pPr>
      <w:r>
        <w:t>Monthly Data Extraction</w:t>
      </w:r>
    </w:p>
    <w:p>
      <w:pPr>
        <w:pStyle w:val="BodyText"/>
      </w:pPr>
      <w:r>
        <w:t>Each input workbook is read from the Monthly Average sheet. The first column is used as the DataFrame index, so month names such as January and February are expected to appear in that first column.</w:t>
      </w:r>
    </w:p>
    <w:p>
      <w:pPr>
        <w:spacing w:after="60"/>
      </w:pPr>
      <w:r>
        <w:rPr>
          <w:rFonts w:ascii="Consolas" w:hAnsi="Consolas" w:eastAsia="Consolas"/>
          <w:color w:val="1F4E79"/>
          <w:sz w:val="18"/>
        </w:rPr>
        <w:t>df = pd.read_excel(file_path, sheet_name="Monthly Average", index_col=0)</w:t>
      </w:r>
    </w:p>
    <w:p>
      <w:pPr>
        <w:pStyle w:val="BodyText"/>
      </w:pPr>
      <w:r>
        <w:t>The script loops through a fixed January-to-December list. If a month exists in the input sheet index, the first value from that row is used and rounded to two decimals. If the month is absent, the site receives a missing value for that month.</w:t>
      </w:r>
    </w:p>
    <w:p>
      <w:pPr>
        <w:spacing w:after="60"/>
      </w:pPr>
      <w:r>
        <w:rPr>
          <w:rFonts w:ascii="Consolas" w:hAnsi="Consolas" w:eastAsia="Consolas"/>
          <w:color w:val="1F4E79"/>
          <w:sz w:val="18"/>
        </w:rPr>
        <w:t>site_data[month] = round(val, 2)</w:t>
      </w:r>
    </w:p>
    <w:p>
      <w:pPr>
        <w:pStyle w:val="Heading1"/>
      </w:pPr>
      <w:r>
        <w:t>Consolidated Table Construction</w:t>
      </w:r>
    </w:p>
    <w:p>
      <w:pPr>
        <w:pStyle w:val="BodyText"/>
      </w:pPr>
      <w:r>
        <w:t>The consolidated dictionary is converted to a DataFrame. Since each site is a dictionary key and each site contains month/value pairs, the resulting table uses months as rows and site codes as columns.</w:t>
      </w:r>
    </w:p>
    <w:p>
      <w:pPr>
        <w:spacing w:after="60"/>
      </w:pPr>
      <w:r>
        <w:rPr>
          <w:rFonts w:ascii="Consolas" w:hAnsi="Consolas" w:eastAsia="Consolas"/>
          <w:color w:val="1F4E79"/>
          <w:sz w:val="18"/>
        </w:rPr>
        <w:t>final_df = pd.DataFrame(consolidated)</w:t>
      </w:r>
    </w:p>
    <w:p>
      <w:pPr>
        <w:spacing w:after="60"/>
      </w:pPr>
      <w:r>
        <w:rPr>
          <w:rFonts w:ascii="Consolas" w:hAnsi="Consolas" w:eastAsia="Consolas"/>
          <w:color w:val="1F4E79"/>
          <w:sz w:val="18"/>
        </w:rPr>
        <w:t>final_df = final_df.reindex(month_order)</w:t>
      </w:r>
    </w:p>
    <w:p>
      <w:pPr>
        <w:pStyle w:val="BodyText"/>
      </w:pPr>
      <w:r>
        <w:t>The reindex step enforces calendar order even if input files have months in another order or some months are missing.</w:t>
      </w:r>
    </w:p>
    <w:p>
      <w:pPr>
        <w:pStyle w:val="Heading1"/>
      </w:pPr>
      <w:r>
        <w:t>Average Computations</w:t>
      </w:r>
    </w:p>
    <w:p>
      <w:pPr>
        <w:pStyle w:val="BodyText"/>
      </w:pPr>
      <w:r>
        <w:t>Before averages are calculated, the script removes percent symbols if present and converts the table values to float. This allows the same logic to work whether values are numeric or text values that include a percent sign.</w:t>
      </w:r>
    </w:p>
    <w:p>
      <w:pPr>
        <w:spacing w:after="60"/>
      </w:pPr>
      <w:r>
        <w:rPr>
          <w:rFonts w:ascii="Consolas" w:hAnsi="Consolas" w:eastAsia="Consolas"/>
          <w:color w:val="1F4E79"/>
          <w:sz w:val="18"/>
        </w:rPr>
        <w:t>numeric_df = final_df.replace('%', '', regex=True).astype(float)</w:t>
      </w:r>
    </w:p>
    <w:tbl>
      <w:tblPr>
        <w:tblStyle w:val="TableGrid"/>
        <w:tblW w:type="dxa" w:w="9360"/>
        <w:tblLook w:firstColumn="1" w:firstRow="1" w:lastColumn="0" w:lastRow="0" w:noHBand="0" w:noVBand="1" w:val="04A0"/>
        <w:tblInd w:w="120" w:type="dxa"/>
        <w:tblLayout w:type="fixed"/>
      </w:tblPr>
      <w:tblGrid>
        <w:gridCol w:w="2520"/>
        <w:gridCol w:w="3960"/>
        <w:gridCol w:w="2880"/>
      </w:tblGrid>
      <w:tr>
        <w:tc>
          <w:tcPr>
            <w:tcW w:type="dxa" w:w="2520"/>
            <w:shd w:fill="E8EEF5"/>
            <w:vAlign w:val="center"/>
            <w:tcMar>
              <w:top w:w="80" w:type="dxa"/>
              <w:start w:w="120" w:type="dxa"/>
              <w:bottom w:w="80" w:type="dxa"/>
              <w:end w:w="120" w:type="dxa"/>
            </w:tcMar>
          </w:tcPr>
          <w:p>
            <w:pPr>
              <w:spacing w:after="0"/>
            </w:pPr>
            <w:r>
              <w:rPr>
                <w:b/>
                <w:sz w:val="19"/>
              </w:rPr>
              <w:t>Average</w:t>
            </w:r>
          </w:p>
        </w:tc>
        <w:tc>
          <w:tcPr>
            <w:tcW w:type="dxa" w:w="3960"/>
            <w:shd w:fill="E8EEF5"/>
            <w:vAlign w:val="center"/>
            <w:tcMar>
              <w:top w:w="80" w:type="dxa"/>
              <w:start w:w="120" w:type="dxa"/>
              <w:bottom w:w="80" w:type="dxa"/>
              <w:end w:w="120" w:type="dxa"/>
            </w:tcMar>
          </w:tcPr>
          <w:p>
            <w:pPr>
              <w:spacing w:after="0"/>
            </w:pPr>
            <w:r>
              <w:rPr>
                <w:b/>
                <w:sz w:val="19"/>
              </w:rPr>
              <w:t>Formula used</w:t>
            </w:r>
          </w:p>
        </w:tc>
        <w:tc>
          <w:tcPr>
            <w:tcW w:type="dxa" w:w="2880"/>
            <w:shd w:fill="E8EEF5"/>
            <w:vAlign w:val="center"/>
            <w:tcMar>
              <w:top w:w="80" w:type="dxa"/>
              <w:start w:w="120" w:type="dxa"/>
              <w:bottom w:w="80" w:type="dxa"/>
              <w:end w:w="120" w:type="dxa"/>
            </w:tcMar>
          </w:tcPr>
          <w:p>
            <w:pPr>
              <w:spacing w:after="0"/>
            </w:pPr>
            <w:r>
              <w:rPr>
                <w:b/>
                <w:sz w:val="19"/>
              </w:rPr>
              <w:t>Interpretation</w:t>
            </w:r>
          </w:p>
        </w:tc>
      </w:tr>
      <w:tr>
        <w:tc>
          <w:tcPr>
            <w:tcW w:type="dxa" w:w="2520"/>
            <w:vAlign w:val="center"/>
            <w:tcMar>
              <w:top w:w="80" w:type="dxa"/>
              <w:start w:w="120" w:type="dxa"/>
              <w:bottom w:w="80" w:type="dxa"/>
              <w:end w:w="120" w:type="dxa"/>
            </w:tcMar>
          </w:tcPr>
          <w:p>
            <w:pPr>
              <w:spacing w:after="0"/>
            </w:pPr>
            <w:r>
              <w:rPr>
                <w:sz w:val="18"/>
              </w:rPr>
              <w:t>% Average column</w:t>
            </w:r>
          </w:p>
        </w:tc>
        <w:tc>
          <w:tcPr>
            <w:tcW w:type="dxa" w:w="3960"/>
            <w:vAlign w:val="center"/>
            <w:tcMar>
              <w:top w:w="80" w:type="dxa"/>
              <w:start w:w="120" w:type="dxa"/>
              <w:bottom w:w="80" w:type="dxa"/>
              <w:end w:w="120" w:type="dxa"/>
            </w:tcMar>
          </w:tcPr>
          <w:p>
            <w:pPr>
              <w:spacing w:after="0"/>
            </w:pPr>
            <w:r>
              <w:rPr>
                <w:sz w:val="18"/>
              </w:rPr>
              <w:t>Mean across site columns for each month, rounded to two decimals.</w:t>
            </w:r>
          </w:p>
        </w:tc>
        <w:tc>
          <w:tcPr>
            <w:tcW w:type="dxa" w:w="2880"/>
            <w:vAlign w:val="center"/>
            <w:tcMar>
              <w:top w:w="80" w:type="dxa"/>
              <w:start w:w="120" w:type="dxa"/>
              <w:bottom w:w="80" w:type="dxa"/>
              <w:end w:w="120" w:type="dxa"/>
            </w:tcMar>
          </w:tcPr>
          <w:p>
            <w:pPr>
              <w:spacing w:after="0"/>
            </w:pPr>
            <w:r>
              <w:rPr>
                <w:sz w:val="18"/>
              </w:rPr>
              <w:t>Cross-site average completeness for that month.</w:t>
            </w:r>
          </w:p>
        </w:tc>
      </w:tr>
      <w:tr>
        <w:tc>
          <w:tcPr>
            <w:tcW w:type="dxa" w:w="2520"/>
            <w:vAlign w:val="center"/>
            <w:tcMar>
              <w:top w:w="80" w:type="dxa"/>
              <w:start w:w="120" w:type="dxa"/>
              <w:bottom w:w="80" w:type="dxa"/>
              <w:end w:w="120" w:type="dxa"/>
            </w:tcMar>
          </w:tcPr>
          <w:p>
            <w:pPr>
              <w:spacing w:after="0"/>
            </w:pPr>
            <w:r>
              <w:rPr>
                <w:sz w:val="18"/>
              </w:rPr>
              <w:t>Monthly Average row</w:t>
            </w:r>
          </w:p>
        </w:tc>
        <w:tc>
          <w:tcPr>
            <w:tcW w:type="dxa" w:w="3960"/>
            <w:vAlign w:val="center"/>
            <w:tcMar>
              <w:top w:w="80" w:type="dxa"/>
              <w:start w:w="120" w:type="dxa"/>
              <w:bottom w:w="80" w:type="dxa"/>
              <w:end w:w="120" w:type="dxa"/>
            </w:tcMar>
          </w:tcPr>
          <w:p>
            <w:pPr>
              <w:spacing w:after="0"/>
            </w:pPr>
            <w:r>
              <w:rPr>
                <w:sz w:val="18"/>
              </w:rPr>
              <w:t>Mean across month rows for each site, rounded to two decimals.</w:t>
            </w:r>
          </w:p>
        </w:tc>
        <w:tc>
          <w:tcPr>
            <w:tcW w:type="dxa" w:w="2880"/>
            <w:vAlign w:val="center"/>
            <w:tcMar>
              <w:top w:w="80" w:type="dxa"/>
              <w:start w:w="120" w:type="dxa"/>
              <w:bottom w:w="80" w:type="dxa"/>
              <w:end w:w="120" w:type="dxa"/>
            </w:tcMar>
          </w:tcPr>
          <w:p>
            <w:pPr>
              <w:spacing w:after="0"/>
            </w:pPr>
            <w:r>
              <w:rPr>
                <w:sz w:val="18"/>
              </w:rPr>
              <w:t>Annual average completeness for each site.</w:t>
            </w:r>
          </w:p>
        </w:tc>
      </w:tr>
      <w:tr>
        <w:tc>
          <w:tcPr>
            <w:tcW w:type="dxa" w:w="2520"/>
            <w:vAlign w:val="center"/>
            <w:tcMar>
              <w:top w:w="80" w:type="dxa"/>
              <w:start w:w="120" w:type="dxa"/>
              <w:bottom w:w="80" w:type="dxa"/>
              <w:end w:w="120" w:type="dxa"/>
            </w:tcMar>
          </w:tcPr>
          <w:p>
            <w:pPr>
              <w:spacing w:after="0"/>
            </w:pPr>
            <w:r>
              <w:rPr>
                <w:sz w:val="18"/>
              </w:rPr>
              <w:t>Bottom-right % Average</w:t>
            </w:r>
          </w:p>
        </w:tc>
        <w:tc>
          <w:tcPr>
            <w:tcW w:type="dxa" w:w="3960"/>
            <w:vAlign w:val="center"/>
            <w:tcMar>
              <w:top w:w="80" w:type="dxa"/>
              <w:start w:w="120" w:type="dxa"/>
              <w:bottom w:w="80" w:type="dxa"/>
              <w:end w:w="120" w:type="dxa"/>
            </w:tcMar>
          </w:tcPr>
          <w:p>
            <w:pPr>
              <w:spacing w:after="0"/>
            </w:pPr>
            <w:r>
              <w:rPr>
                <w:sz w:val="18"/>
              </w:rPr>
              <w:t>Mean of all numeric site-month values, rounded to two decimals.</w:t>
            </w:r>
          </w:p>
        </w:tc>
        <w:tc>
          <w:tcPr>
            <w:tcW w:type="dxa" w:w="2880"/>
            <w:vAlign w:val="center"/>
            <w:tcMar>
              <w:top w:w="80" w:type="dxa"/>
              <w:start w:w="120" w:type="dxa"/>
              <w:bottom w:w="80" w:type="dxa"/>
              <w:end w:w="120" w:type="dxa"/>
            </w:tcMar>
          </w:tcPr>
          <w:p>
            <w:pPr>
              <w:spacing w:after="0"/>
            </w:pPr>
            <w:r>
              <w:rPr>
                <w:sz w:val="18"/>
              </w:rPr>
              <w:t>Overall average across all sites and months.</w:t>
            </w:r>
          </w:p>
        </w:tc>
      </w:tr>
    </w:tbl>
    <w:p/>
    <w:p>
      <w:pPr>
        <w:spacing w:after="60"/>
      </w:pPr>
      <w:r>
        <w:rPr>
          <w:rFonts w:ascii="Consolas" w:hAnsi="Consolas" w:eastAsia="Consolas"/>
          <w:color w:val="1F4E79"/>
          <w:sz w:val="18"/>
        </w:rPr>
        <w:t>final_df["% Average"] = numeric_df.mean(axis=1).round(2).astype(str) + "%"</w:t>
      </w:r>
    </w:p>
    <w:p>
      <w:pPr>
        <w:spacing w:after="60"/>
      </w:pPr>
      <w:r>
        <w:rPr>
          <w:rFonts w:ascii="Consolas" w:hAnsi="Consolas" w:eastAsia="Consolas"/>
          <w:color w:val="1F4E79"/>
          <w:sz w:val="18"/>
        </w:rPr>
        <w:t>overall_row = numeric_df.mean(axis=0).round(2)</w:t>
      </w:r>
    </w:p>
    <w:p>
      <w:pPr>
        <w:spacing w:after="60"/>
      </w:pPr>
      <w:r>
        <w:rPr>
          <w:rFonts w:ascii="Consolas" w:hAnsi="Consolas" w:eastAsia="Consolas"/>
          <w:color w:val="1F4E79"/>
          <w:sz w:val="18"/>
        </w:rPr>
        <w:t>overall_row["% Average"] = numeric_df.mean().mean().round(2).astype(str) + "%"</w:t>
      </w:r>
    </w:p>
    <w:p>
      <w:pPr>
        <w:pStyle w:val="Heading1"/>
      </w:pPr>
      <w:r>
        <w:t>Output Workbook Structure</w:t>
      </w:r>
    </w:p>
    <w:tbl>
      <w:tblPr>
        <w:tblStyle w:val="TableGrid"/>
        <w:tblW w:type="dxa" w:w="9360"/>
        <w:tblLook w:firstColumn="1" w:firstRow="1" w:lastColumn="0" w:lastRow="0" w:noHBand="0" w:noVBand="1" w:val="04A0"/>
        <w:tblInd w:w="120" w:type="dxa"/>
        <w:tblLayout w:type="fixed"/>
      </w:tblPr>
      <w:tblGrid>
        <w:gridCol w:w="2520"/>
        <w:gridCol w:w="6840"/>
      </w:tblGrid>
      <w:tr>
        <w:tc>
          <w:tcPr>
            <w:tcW w:type="dxa" w:w="2520"/>
            <w:shd w:fill="E8EEF5"/>
            <w:vAlign w:val="center"/>
            <w:tcMar>
              <w:top w:w="80" w:type="dxa"/>
              <w:start w:w="120" w:type="dxa"/>
              <w:bottom w:w="80" w:type="dxa"/>
              <w:end w:w="120" w:type="dxa"/>
            </w:tcMar>
          </w:tcPr>
          <w:p>
            <w:pPr>
              <w:spacing w:after="0"/>
            </w:pPr>
            <w:r>
              <w:rPr>
                <w:b/>
                <w:sz w:val="19"/>
              </w:rPr>
              <w:t>Output component</w:t>
            </w:r>
          </w:p>
        </w:tc>
        <w:tc>
          <w:tcPr>
            <w:tcW w:type="dxa" w:w="6840"/>
            <w:shd w:fill="E8EEF5"/>
            <w:vAlign w:val="center"/>
            <w:tcMar>
              <w:top w:w="80" w:type="dxa"/>
              <w:start w:w="120" w:type="dxa"/>
              <w:bottom w:w="80" w:type="dxa"/>
              <w:end w:w="120" w:type="dxa"/>
            </w:tcMar>
          </w:tcPr>
          <w:p>
            <w:pPr>
              <w:spacing w:after="0"/>
            </w:pPr>
            <w:r>
              <w:rPr>
                <w:b/>
                <w:sz w:val="19"/>
              </w:rPr>
              <w:t>Contents</w:t>
            </w:r>
          </w:p>
        </w:tc>
      </w:tr>
      <w:tr>
        <w:tc>
          <w:tcPr>
            <w:tcW w:type="dxa" w:w="2520"/>
            <w:vAlign w:val="center"/>
            <w:tcMar>
              <w:top w:w="80" w:type="dxa"/>
              <w:start w:w="120" w:type="dxa"/>
              <w:bottom w:w="80" w:type="dxa"/>
              <w:end w:w="120" w:type="dxa"/>
            </w:tcMar>
          </w:tcPr>
          <w:p>
            <w:pPr>
              <w:spacing w:after="0"/>
            </w:pPr>
            <w:r>
              <w:rPr>
                <w:sz w:val="18"/>
              </w:rPr>
              <w:t>File name</w:t>
            </w:r>
          </w:p>
        </w:tc>
        <w:tc>
          <w:tcPr>
            <w:tcW w:type="dxa" w:w="6840"/>
            <w:vAlign w:val="center"/>
            <w:tcMar>
              <w:top w:w="80" w:type="dxa"/>
              <w:start w:w="120" w:type="dxa"/>
              <w:bottom w:w="80" w:type="dxa"/>
              <w:end w:w="120" w:type="dxa"/>
            </w:tcMar>
          </w:tcPr>
          <w:p>
            <w:pPr>
              <w:spacing w:after="0"/>
            </w:pPr>
            <w:r>
              <w:rPr>
                <w:sz w:val="18"/>
              </w:rPr>
              <w:t>completeness_consolidated.xlsx</w:t>
            </w:r>
          </w:p>
        </w:tc>
      </w:tr>
      <w:tr>
        <w:tc>
          <w:tcPr>
            <w:tcW w:type="dxa" w:w="2520"/>
            <w:vAlign w:val="center"/>
            <w:tcMar>
              <w:top w:w="80" w:type="dxa"/>
              <w:start w:w="120" w:type="dxa"/>
              <w:bottom w:w="80" w:type="dxa"/>
              <w:end w:w="120" w:type="dxa"/>
            </w:tcMar>
          </w:tcPr>
          <w:p>
            <w:pPr>
              <w:spacing w:after="0"/>
            </w:pPr>
            <w:r>
              <w:rPr>
                <w:sz w:val="18"/>
              </w:rPr>
              <w:t>Sheet name</w:t>
            </w:r>
          </w:p>
        </w:tc>
        <w:tc>
          <w:tcPr>
            <w:tcW w:type="dxa" w:w="6840"/>
            <w:vAlign w:val="center"/>
            <w:tcMar>
              <w:top w:w="80" w:type="dxa"/>
              <w:start w:w="120" w:type="dxa"/>
              <w:bottom w:w="80" w:type="dxa"/>
              <w:end w:w="120" w:type="dxa"/>
            </w:tcMar>
          </w:tcPr>
          <w:p>
            <w:pPr>
              <w:spacing w:after="0"/>
            </w:pPr>
            <w:r>
              <w:rPr>
                <w:sz w:val="18"/>
              </w:rPr>
              <w:t>Completeness Summary</w:t>
            </w:r>
          </w:p>
        </w:tc>
      </w:tr>
      <w:tr>
        <w:tc>
          <w:tcPr>
            <w:tcW w:type="dxa" w:w="2520"/>
            <w:vAlign w:val="center"/>
            <w:tcMar>
              <w:top w:w="80" w:type="dxa"/>
              <w:start w:w="120" w:type="dxa"/>
              <w:bottom w:w="80" w:type="dxa"/>
              <w:end w:w="120" w:type="dxa"/>
            </w:tcMar>
          </w:tcPr>
          <w:p>
            <w:pPr>
              <w:spacing w:after="0"/>
            </w:pPr>
            <w:r>
              <w:rPr>
                <w:sz w:val="18"/>
              </w:rPr>
              <w:t>Rows</w:t>
            </w:r>
          </w:p>
        </w:tc>
        <w:tc>
          <w:tcPr>
            <w:tcW w:type="dxa" w:w="6840"/>
            <w:vAlign w:val="center"/>
            <w:tcMar>
              <w:top w:w="80" w:type="dxa"/>
              <w:start w:w="120" w:type="dxa"/>
              <w:bottom w:w="80" w:type="dxa"/>
              <w:end w:w="120" w:type="dxa"/>
            </w:tcMar>
          </w:tcPr>
          <w:p>
            <w:pPr>
              <w:spacing w:after="0"/>
            </w:pPr>
            <w:r>
              <w:rPr>
                <w:sz w:val="18"/>
              </w:rPr>
              <w:t>January through December, plus a Monthly Average summary row.</w:t>
            </w:r>
          </w:p>
        </w:tc>
      </w:tr>
      <w:tr>
        <w:tc>
          <w:tcPr>
            <w:tcW w:type="dxa" w:w="2520"/>
            <w:vAlign w:val="center"/>
            <w:tcMar>
              <w:top w:w="80" w:type="dxa"/>
              <w:start w:w="120" w:type="dxa"/>
              <w:bottom w:w="80" w:type="dxa"/>
              <w:end w:w="120" w:type="dxa"/>
            </w:tcMar>
          </w:tcPr>
          <w:p>
            <w:pPr>
              <w:spacing w:after="0"/>
            </w:pPr>
            <w:r>
              <w:rPr>
                <w:sz w:val="18"/>
              </w:rPr>
              <w:t>Site columns</w:t>
            </w:r>
          </w:p>
        </w:tc>
        <w:tc>
          <w:tcPr>
            <w:tcW w:type="dxa" w:w="6840"/>
            <w:vAlign w:val="center"/>
            <w:tcMar>
              <w:top w:w="80" w:type="dxa"/>
              <w:start w:w="120" w:type="dxa"/>
              <w:bottom w:w="80" w:type="dxa"/>
              <w:end w:w="120" w:type="dxa"/>
            </w:tcMar>
          </w:tcPr>
          <w:p>
            <w:pPr>
              <w:spacing w:after="0"/>
            </w:pPr>
            <w:r>
              <w:rPr>
                <w:sz w:val="18"/>
              </w:rPr>
              <w:t>One column per input completeness report/site.</w:t>
            </w:r>
          </w:p>
        </w:tc>
      </w:tr>
      <w:tr>
        <w:tc>
          <w:tcPr>
            <w:tcW w:type="dxa" w:w="2520"/>
            <w:vAlign w:val="center"/>
            <w:tcMar>
              <w:top w:w="80" w:type="dxa"/>
              <w:start w:w="120" w:type="dxa"/>
              <w:bottom w:w="80" w:type="dxa"/>
              <w:end w:w="120" w:type="dxa"/>
            </w:tcMar>
          </w:tcPr>
          <w:p>
            <w:pPr>
              <w:spacing w:after="0"/>
            </w:pPr>
            <w:r>
              <w:rPr>
                <w:sz w:val="18"/>
              </w:rPr>
              <w:t>% Average column</w:t>
            </w:r>
          </w:p>
        </w:tc>
        <w:tc>
          <w:tcPr>
            <w:tcW w:type="dxa" w:w="6840"/>
            <w:vAlign w:val="center"/>
            <w:tcMar>
              <w:top w:w="80" w:type="dxa"/>
              <w:start w:w="120" w:type="dxa"/>
              <w:bottom w:w="80" w:type="dxa"/>
              <w:end w:w="120" w:type="dxa"/>
            </w:tcMar>
          </w:tcPr>
          <w:p>
            <w:pPr>
              <w:spacing w:after="0"/>
            </w:pPr>
            <w:r>
              <w:rPr>
                <w:sz w:val="18"/>
              </w:rPr>
              <w:t>Monthly average across all site columns.</w:t>
            </w:r>
          </w:p>
        </w:tc>
      </w:tr>
    </w:tbl>
    <w:p/>
    <w:p>
      <w:pPr>
        <w:pStyle w:val="Heading1"/>
      </w:pPr>
      <w:r>
        <w:t>Worked Example</w:t>
      </w:r>
    </w:p>
    <w:p>
      <w:pPr>
        <w:pStyle w:val="BodyText"/>
      </w:pPr>
      <w:r>
        <w:t>Suppose the selected folder contains completeness_report_aaa.xlsx and completeness_report_bbb.xlsx. If January has 95.50 for AAA and 90.00 for BBB, the January % Average is (95.50 + 90.00) / 2 = 92.75%.</w:t>
      </w:r>
    </w:p>
    <w:p>
      <w:pPr>
        <w:pStyle w:val="BodyText"/>
      </w:pPr>
      <w:r>
        <w:t>For the Monthly Average row under AAA, the script averages AAA's January-to-December values. Missing month values are ignored by pandas mean calculations.</w:t>
      </w:r>
    </w:p>
    <w:p>
      <w:pPr>
        <w:pStyle w:val="Heading1"/>
      </w:pPr>
      <w:r>
        <w:t>Important Notes and Watch Points</w:t>
      </w:r>
    </w:p>
    <w:p>
      <w:pPr>
        <w:pStyle w:val="ListBullet"/>
      </w:pPr>
      <w:r>
        <w:t>The script expects each input workbook to contain a sheet named exactly Monthly Average.</w:t>
      </w:r>
    </w:p>
    <w:p>
      <w:pPr>
        <w:pStyle w:val="ListBullet"/>
      </w:pPr>
      <w:r>
        <w:t>Month names must match the full names January through December to be picked up.</w:t>
      </w:r>
    </w:p>
    <w:p>
      <w:pPr>
        <w:pStyle w:val="ListBullet"/>
      </w:pPr>
      <w:r>
        <w:t>Values are converted to float after removing percent signs, so nonnumeric text in site-month cells can cause conversion errors.</w:t>
      </w:r>
    </w:p>
    <w:p>
      <w:pPr>
        <w:pStyle w:val="ListBullet"/>
      </w:pPr>
      <w:r>
        <w:t>Missing months become None and are ignored by pandas mean calculations.</w:t>
      </w:r>
    </w:p>
    <w:p>
      <w:pPr>
        <w:pStyle w:val="ListBullet"/>
      </w:pPr>
      <w:r>
        <w:t>The % Average column and Monthly Average row are written as strings with percent signs, while the original site-month cells remain as numeric-looking values.</w:t>
      </w:r>
    </w:p>
    <w:p>
      <w:pPr>
        <w:pStyle w:val="ListBullet"/>
      </w:pPr>
      <w:r>
        <w:t>The output file is always named completeness_consolidated.xlsx and can overwrite an existing file with that name.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eastAsia="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