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eastAsia="Calibri"/>
          <w:b/>
          <w:color w:val="0B2545"/>
          <w:sz w:val="40"/>
        </w:rPr>
        <w:t>Context and Detailed Computation Guide for compute_diagnosis.py</w:t>
      </w:r>
    </w:p>
    <w:p>
      <w:pPr>
        <w:spacing w:after="240"/>
      </w:pPr>
      <w:r>
        <w:rPr>
          <w:color w:val="555555"/>
          <w:sz w:val="18"/>
        </w:rPr>
        <w:t>Source folder: D:\PROGRAMMING\TESTINGS\Tools_backup\annual_perf_eval\annual_performance_reports\6_encoding_diagnosis</w:t>
      </w:r>
    </w:p>
    <w:p>
      <w:pPr>
        <w:pStyle w:val="Heading1"/>
      </w:pPr>
      <w:r>
        <w:t>Purpose and Context</w:t>
      </w:r>
    </w:p>
    <w:p>
      <w:pPr>
        <w:pStyle w:val="BodyText"/>
      </w:pPr>
      <w:r>
        <w:t>The script consolidates diagnosis completeness results across site-level completeness report workbooks. It is intended to run after the demographics completeness report has already produced one completeness_report_&lt;site&gt;.xlsx file per site.</w:t>
      </w:r>
    </w:p>
    <w:p>
      <w:pPr>
        <w:pStyle w:val="BodyText"/>
      </w:pPr>
      <w:r>
        <w:t>This script does not recompute diagnosis completeness from raw records. Instead, it extracts the existing Diagnosis row from each report's Completeness sheet, aligns the monthly values by calendar month, and writes a consolidated diagnosis summary workbook.</w:t>
      </w:r>
    </w:p>
    <w:p>
      <w:pPr>
        <w:pStyle w:val="Heading1"/>
      </w:pPr>
      <w:r>
        <w:t>Input and Output</w:t>
      </w:r>
    </w:p>
    <w:tbl>
      <w:tblPr>
        <w:tblStyle w:val="TableGrid"/>
        <w:tblW w:type="dxa" w:w="9360"/>
        <w:tblLook w:firstColumn="1" w:firstRow="1" w:lastColumn="0" w:lastRow="0" w:noHBand="0" w:noVBand="1" w:val="04A0"/>
        <w:tblInd w:w="120" w:type="dxa"/>
        <w:tblLayout w:type="fixed"/>
      </w:tblPr>
      <w:tblGrid>
        <w:gridCol w:w="2160"/>
        <w:gridCol w:w="7200"/>
      </w:tblGrid>
      <w:tr>
        <w:tc>
          <w:tcPr>
            <w:tcW w:type="dxa" w:w="2160"/>
            <w:shd w:fill="E8EEF5"/>
            <w:vAlign w:val="center"/>
            <w:tcMar>
              <w:top w:w="80" w:type="dxa"/>
              <w:start w:w="120" w:type="dxa"/>
              <w:bottom w:w="80" w:type="dxa"/>
              <w:end w:w="120" w:type="dxa"/>
            </w:tcMar>
          </w:tcPr>
          <w:p>
            <w:pPr>
              <w:spacing w:after="0"/>
            </w:pPr>
            <w:r>
              <w:rPr>
                <w:b/>
                <w:sz w:val="19"/>
              </w:rPr>
              <w:t>Item</w:t>
            </w:r>
          </w:p>
        </w:tc>
        <w:tc>
          <w:tcPr>
            <w:tcW w:type="dxa" w:w="7200"/>
            <w:shd w:fill="E8EEF5"/>
            <w:vAlign w:val="center"/>
            <w:tcMar>
              <w:top w:w="80" w:type="dxa"/>
              <w:start w:w="120" w:type="dxa"/>
              <w:bottom w:w="80" w:type="dxa"/>
              <w:end w:w="120" w:type="dxa"/>
            </w:tcMar>
          </w:tcPr>
          <w:p>
            <w:pPr>
              <w:spacing w:after="0"/>
            </w:pPr>
            <w:r>
              <w:rPr>
                <w:b/>
                <w:sz w:val="19"/>
              </w:rPr>
              <w:t>How the script uses it</w:t>
            </w:r>
          </w:p>
        </w:tc>
      </w:tr>
      <w:tr>
        <w:tc>
          <w:tcPr>
            <w:tcW w:type="dxa" w:w="2160"/>
            <w:vAlign w:val="center"/>
            <w:tcMar>
              <w:top w:w="80" w:type="dxa"/>
              <w:start w:w="120" w:type="dxa"/>
              <w:bottom w:w="80" w:type="dxa"/>
              <w:end w:w="120" w:type="dxa"/>
            </w:tcMar>
          </w:tcPr>
          <w:p>
            <w:pPr>
              <w:spacing w:after="0"/>
            </w:pPr>
            <w:r>
              <w:rPr>
                <w:sz w:val="18"/>
              </w:rPr>
              <w:t>Selected folder</w:t>
            </w:r>
          </w:p>
        </w:tc>
        <w:tc>
          <w:tcPr>
            <w:tcW w:type="dxa" w:w="7200"/>
            <w:vAlign w:val="center"/>
            <w:tcMar>
              <w:top w:w="80" w:type="dxa"/>
              <w:start w:w="120" w:type="dxa"/>
              <w:bottom w:w="80" w:type="dxa"/>
              <w:end w:w="120" w:type="dxa"/>
            </w:tcMar>
          </w:tcPr>
          <w:p>
            <w:pPr>
              <w:spacing w:after="0"/>
            </w:pPr>
            <w:r>
              <w:rPr>
                <w:sz w:val="18"/>
              </w:rPr>
              <w:t>The user selects a folder containing site completeness report workbooks.</w:t>
            </w:r>
          </w:p>
        </w:tc>
      </w:tr>
      <w:tr>
        <w:tc>
          <w:tcPr>
            <w:tcW w:type="dxa" w:w="2160"/>
            <w:vAlign w:val="center"/>
            <w:tcMar>
              <w:top w:w="80" w:type="dxa"/>
              <w:start w:w="120" w:type="dxa"/>
              <w:bottom w:w="80" w:type="dxa"/>
              <w:end w:w="120" w:type="dxa"/>
            </w:tcMar>
          </w:tcPr>
          <w:p>
            <w:pPr>
              <w:spacing w:after="0"/>
            </w:pPr>
            <w:r>
              <w:rPr>
                <w:sz w:val="18"/>
              </w:rPr>
              <w:t>Input files</w:t>
            </w:r>
          </w:p>
        </w:tc>
        <w:tc>
          <w:tcPr>
            <w:tcW w:type="dxa" w:w="7200"/>
            <w:vAlign w:val="center"/>
            <w:tcMar>
              <w:top w:w="80" w:type="dxa"/>
              <w:start w:w="120" w:type="dxa"/>
              <w:bottom w:w="80" w:type="dxa"/>
              <w:end w:w="120" w:type="dxa"/>
            </w:tcMar>
          </w:tcPr>
          <w:p>
            <w:pPr>
              <w:spacing w:after="0"/>
            </w:pPr>
            <w:r>
              <w:rPr>
                <w:sz w:val="18"/>
              </w:rPr>
              <w:t>Only files starting with completeness_report_ and ending with .xlsx are processed.</w:t>
            </w:r>
          </w:p>
        </w:tc>
      </w:tr>
      <w:tr>
        <w:tc>
          <w:tcPr>
            <w:tcW w:type="dxa" w:w="2160"/>
            <w:vAlign w:val="center"/>
            <w:tcMar>
              <w:top w:w="80" w:type="dxa"/>
              <w:start w:w="120" w:type="dxa"/>
              <w:bottom w:w="80" w:type="dxa"/>
              <w:end w:w="120" w:type="dxa"/>
            </w:tcMar>
          </w:tcPr>
          <w:p>
            <w:pPr>
              <w:spacing w:after="0"/>
            </w:pPr>
            <w:r>
              <w:rPr>
                <w:sz w:val="18"/>
              </w:rPr>
              <w:t>Source sheet</w:t>
            </w:r>
          </w:p>
        </w:tc>
        <w:tc>
          <w:tcPr>
            <w:tcW w:type="dxa" w:w="7200"/>
            <w:vAlign w:val="center"/>
            <w:tcMar>
              <w:top w:w="80" w:type="dxa"/>
              <w:start w:w="120" w:type="dxa"/>
              <w:bottom w:w="80" w:type="dxa"/>
              <w:end w:w="120" w:type="dxa"/>
            </w:tcMar>
          </w:tcPr>
          <w:p>
            <w:pPr>
              <w:spacing w:after="0"/>
            </w:pPr>
            <w:r>
              <w:rPr>
                <w:sz w:val="18"/>
              </w:rPr>
              <w:t>The script reads the Completeness sheet from each input workbook.</w:t>
            </w:r>
          </w:p>
        </w:tc>
      </w:tr>
      <w:tr>
        <w:tc>
          <w:tcPr>
            <w:tcW w:type="dxa" w:w="2160"/>
            <w:vAlign w:val="center"/>
            <w:tcMar>
              <w:top w:w="80" w:type="dxa"/>
              <w:start w:w="120" w:type="dxa"/>
              <w:bottom w:w="80" w:type="dxa"/>
              <w:end w:w="120" w:type="dxa"/>
            </w:tcMar>
          </w:tcPr>
          <w:p>
            <w:pPr>
              <w:spacing w:after="0"/>
            </w:pPr>
            <w:r>
              <w:rPr>
                <w:sz w:val="18"/>
              </w:rPr>
              <w:t>Source row</w:t>
            </w:r>
          </w:p>
        </w:tc>
        <w:tc>
          <w:tcPr>
            <w:tcW w:type="dxa" w:w="7200"/>
            <w:vAlign w:val="center"/>
            <w:tcMar>
              <w:top w:w="80" w:type="dxa"/>
              <w:start w:w="120" w:type="dxa"/>
              <w:bottom w:w="80" w:type="dxa"/>
              <w:end w:w="120" w:type="dxa"/>
            </w:tcMar>
          </w:tcPr>
          <w:p>
            <w:pPr>
              <w:spacing w:after="0"/>
            </w:pPr>
            <w:r>
              <w:rPr>
                <w:sz w:val="18"/>
              </w:rPr>
              <w:t>The row labeled Diagnosis is extracted after normalizing row labels.</w:t>
            </w:r>
          </w:p>
        </w:tc>
      </w:tr>
      <w:tr>
        <w:tc>
          <w:tcPr>
            <w:tcW w:type="dxa" w:w="2160"/>
            <w:vAlign w:val="center"/>
            <w:tcMar>
              <w:top w:w="80" w:type="dxa"/>
              <w:start w:w="120" w:type="dxa"/>
              <w:bottom w:w="80" w:type="dxa"/>
              <w:end w:w="120" w:type="dxa"/>
            </w:tcMar>
          </w:tcPr>
          <w:p>
            <w:pPr>
              <w:spacing w:after="0"/>
            </w:pPr>
            <w:r>
              <w:rPr>
                <w:sz w:val="18"/>
              </w:rPr>
              <w:t>Output workbook</w:t>
            </w:r>
          </w:p>
        </w:tc>
        <w:tc>
          <w:tcPr>
            <w:tcW w:type="dxa" w:w="7200"/>
            <w:vAlign w:val="center"/>
            <w:tcMar>
              <w:top w:w="80" w:type="dxa"/>
              <w:start w:w="120" w:type="dxa"/>
              <w:bottom w:w="80" w:type="dxa"/>
              <w:end w:w="120" w:type="dxa"/>
            </w:tcMar>
          </w:tcPr>
          <w:p>
            <w:pPr>
              <w:spacing w:after="0"/>
            </w:pPr>
            <w:r>
              <w:rPr>
                <w:sz w:val="18"/>
              </w:rPr>
              <w:t>Saved in the selected folder as diagnosis_consolidated.xlsx.</w:t>
            </w:r>
          </w:p>
        </w:tc>
      </w:tr>
    </w:tbl>
    <w:p/>
    <w:p>
      <w:pPr>
        <w:pStyle w:val="Heading1"/>
      </w:pPr>
      <w:r>
        <w:t>Processing Flow</w:t>
      </w:r>
    </w:p>
    <w:p>
      <w:pPr>
        <w:pStyle w:val="ListBullet"/>
      </w:pPr>
      <w:r>
        <w:t>Open a folder picker and capture the folder containing completeness reports.</w:t>
      </w:r>
    </w:p>
    <w:p>
      <w:pPr>
        <w:pStyle w:val="ListBullet"/>
      </w:pPr>
      <w:r>
        <w:t>List all completeness_report_*.xlsx files.</w:t>
      </w:r>
    </w:p>
    <w:p>
      <w:pPr>
        <w:pStyle w:val="ListBullet"/>
      </w:pPr>
      <w:r>
        <w:t>For each file, derive the site code from the filename.</w:t>
      </w:r>
    </w:p>
    <w:p>
      <w:pPr>
        <w:pStyle w:val="ListBullet"/>
      </w:pPr>
      <w:r>
        <w:t>Read the Completeness sheet using the first column as the row index.</w:t>
      </w:r>
    </w:p>
    <w:p>
      <w:pPr>
        <w:pStyle w:val="ListBullet"/>
      </w:pPr>
      <w:r>
        <w:t>Normalize row labels by trimming spaces and lowercasing them.</w:t>
      </w:r>
    </w:p>
    <w:p>
      <w:pPr>
        <w:pStyle w:val="ListBullet"/>
      </w:pPr>
      <w:r>
        <w:t>Check whether a diagnosis row exists.</w:t>
      </w:r>
    </w:p>
    <w:p>
      <w:pPr>
        <w:pStyle w:val="ListBullet"/>
      </w:pPr>
      <w:r>
        <w:t>Extract January through December values from the diagnosis row.</w:t>
      </w:r>
    </w:p>
    <w:p>
      <w:pPr>
        <w:pStyle w:val="ListBullet"/>
      </w:pPr>
      <w:r>
        <w:t>Store extracted values by site and month.</w:t>
      </w:r>
    </w:p>
    <w:p>
      <w:pPr>
        <w:pStyle w:val="ListBullet"/>
      </w:pPr>
      <w:r>
        <w:t>Convert the collected data into a DataFrame with months as rows and sites as columns.</w:t>
      </w:r>
    </w:p>
    <w:p>
      <w:pPr>
        <w:pStyle w:val="ListBullet"/>
      </w:pPr>
      <w:r>
        <w:t>Format available numeric values as percentages with two decimal places.</w:t>
      </w:r>
    </w:p>
    <w:p>
      <w:pPr>
        <w:pStyle w:val="ListBullet"/>
      </w:pPr>
      <w:r>
        <w:t>Write the final output workbook.</w:t>
      </w:r>
    </w:p>
    <w:p>
      <w:pPr>
        <w:pStyle w:val="Heading1"/>
      </w:pPr>
      <w:r>
        <w:t>Input File Detection</w:t>
      </w:r>
    </w:p>
    <w:p>
      <w:pPr>
        <w:pStyle w:val="BodyText"/>
      </w:pPr>
      <w:r>
        <w:t>The script only processes workbooks whose names follow the completeness report naming pattern.</w:t>
      </w:r>
    </w:p>
    <w:p>
      <w:pPr>
        <w:spacing w:after="60"/>
      </w:pPr>
      <w:r>
        <w:rPr>
          <w:rFonts w:ascii="Consolas" w:hAnsi="Consolas" w:eastAsia="Consolas"/>
          <w:color w:val="1F4E79"/>
          <w:sz w:val="18"/>
        </w:rPr>
        <w:t>files = [f for f in os.listdir(folder_path) if f.startswith("completeness_report_") and f.endswith(".xlsx")]</w:t>
      </w:r>
    </w:p>
    <w:p>
      <w:pPr>
        <w:pStyle w:val="BodyText"/>
      </w:pPr>
      <w:r>
        <w:t>If no matching files are found, the script prints a message and exits. Files with other names are ignored even if they contain a compatible Completeness sheet.</w:t>
      </w:r>
    </w:p>
    <w:p>
      <w:pPr>
        <w:pStyle w:val="Heading1"/>
      </w:pPr>
      <w:r>
        <w:t>Site Code Extraction</w:t>
      </w:r>
    </w:p>
    <w:p>
      <w:pPr>
        <w:pStyle w:val="BodyText"/>
      </w:pPr>
      <w:r>
        <w:t>The site label is derived from the filename by removing the standard prefix and .xlsx extension, then converting the remaining text to uppercase.</w:t>
      </w:r>
    </w:p>
    <w:p>
      <w:pPr>
        <w:spacing w:after="60"/>
      </w:pPr>
      <w:r>
        <w:rPr>
          <w:rFonts w:ascii="Consolas" w:hAnsi="Consolas" w:eastAsia="Consolas"/>
          <w:color w:val="1F4E79"/>
          <w:sz w:val="18"/>
        </w:rPr>
        <w:t>site = file.replace("completeness_report_", "").replace(".xlsx", "").upper()</w:t>
      </w:r>
    </w:p>
    <w:tbl>
      <w:tblPr>
        <w:tblStyle w:val="TableGrid"/>
        <w:tblW w:type="dxa" w:w="9360"/>
        <w:tblLook w:firstColumn="1" w:firstRow="1" w:lastColumn="0" w:lastRow="0" w:noHBand="0" w:noVBand="1" w:val="04A0"/>
        <w:tblInd w:w="120" w:type="dxa"/>
        <w:tblLayout w:type="fixed"/>
      </w:tblPr>
      <w:tblGrid>
        <w:gridCol w:w="4320"/>
        <w:gridCol w:w="5040"/>
      </w:tblGrid>
      <w:tr>
        <w:tc>
          <w:tcPr>
            <w:tcW w:type="dxa" w:w="4320"/>
            <w:shd w:fill="E8EEF5"/>
            <w:vAlign w:val="center"/>
            <w:tcMar>
              <w:top w:w="80" w:type="dxa"/>
              <w:start w:w="120" w:type="dxa"/>
              <w:bottom w:w="80" w:type="dxa"/>
              <w:end w:w="120" w:type="dxa"/>
            </w:tcMar>
          </w:tcPr>
          <w:p>
            <w:pPr>
              <w:spacing w:after="0"/>
            </w:pPr>
            <w:r>
              <w:rPr>
                <w:b/>
                <w:sz w:val="19"/>
              </w:rPr>
              <w:t>Input filename</w:t>
            </w:r>
          </w:p>
        </w:tc>
        <w:tc>
          <w:tcPr>
            <w:tcW w:type="dxa" w:w="5040"/>
            <w:shd w:fill="E8EEF5"/>
            <w:vAlign w:val="center"/>
            <w:tcMar>
              <w:top w:w="80" w:type="dxa"/>
              <w:start w:w="120" w:type="dxa"/>
              <w:bottom w:w="80" w:type="dxa"/>
              <w:end w:w="120" w:type="dxa"/>
            </w:tcMar>
          </w:tcPr>
          <w:p>
            <w:pPr>
              <w:spacing w:after="0"/>
            </w:pPr>
            <w:r>
              <w:rPr>
                <w:b/>
                <w:sz w:val="19"/>
              </w:rPr>
              <w:t>Derived site column</w:t>
            </w:r>
          </w:p>
        </w:tc>
      </w:tr>
      <w:tr>
        <w:tc>
          <w:tcPr>
            <w:tcW w:type="dxa" w:w="4320"/>
            <w:vAlign w:val="center"/>
            <w:tcMar>
              <w:top w:w="80" w:type="dxa"/>
              <w:start w:w="120" w:type="dxa"/>
              <w:bottom w:w="80" w:type="dxa"/>
              <w:end w:w="120" w:type="dxa"/>
            </w:tcMar>
          </w:tcPr>
          <w:p>
            <w:pPr>
              <w:spacing w:after="0"/>
            </w:pPr>
            <w:r>
              <w:rPr>
                <w:sz w:val="18"/>
              </w:rPr>
              <w:t>completeness_report_abc.xlsx</w:t>
            </w:r>
          </w:p>
        </w:tc>
        <w:tc>
          <w:tcPr>
            <w:tcW w:type="dxa" w:w="5040"/>
            <w:vAlign w:val="center"/>
            <w:tcMar>
              <w:top w:w="80" w:type="dxa"/>
              <w:start w:w="120" w:type="dxa"/>
              <w:bottom w:w="80" w:type="dxa"/>
              <w:end w:w="120" w:type="dxa"/>
            </w:tcMar>
          </w:tcPr>
          <w:p>
            <w:pPr>
              <w:spacing w:after="0"/>
            </w:pPr>
            <w:r>
              <w:rPr>
                <w:sz w:val="18"/>
              </w:rPr>
              <w:t>ABC</w:t>
            </w:r>
          </w:p>
        </w:tc>
      </w:tr>
      <w:tr>
        <w:tc>
          <w:tcPr>
            <w:tcW w:type="dxa" w:w="4320"/>
            <w:vAlign w:val="center"/>
            <w:tcMar>
              <w:top w:w="80" w:type="dxa"/>
              <w:start w:w="120" w:type="dxa"/>
              <w:bottom w:w="80" w:type="dxa"/>
              <w:end w:w="120" w:type="dxa"/>
            </w:tcMar>
          </w:tcPr>
          <w:p>
            <w:pPr>
              <w:spacing w:after="0"/>
            </w:pPr>
            <w:r>
              <w:rPr>
                <w:sz w:val="18"/>
              </w:rPr>
              <w:t>completeness_report_phl01.xlsx</w:t>
            </w:r>
          </w:p>
        </w:tc>
        <w:tc>
          <w:tcPr>
            <w:tcW w:type="dxa" w:w="5040"/>
            <w:vAlign w:val="center"/>
            <w:tcMar>
              <w:top w:w="80" w:type="dxa"/>
              <w:start w:w="120" w:type="dxa"/>
              <w:bottom w:w="80" w:type="dxa"/>
              <w:end w:w="120" w:type="dxa"/>
            </w:tcMar>
          </w:tcPr>
          <w:p>
            <w:pPr>
              <w:spacing w:after="0"/>
            </w:pPr>
            <w:r>
              <w:rPr>
                <w:sz w:val="18"/>
              </w:rPr>
              <w:t>PHL01</w:t>
            </w:r>
          </w:p>
        </w:tc>
      </w:tr>
      <w:tr>
        <w:tc>
          <w:tcPr>
            <w:tcW w:type="dxa" w:w="4320"/>
            <w:vAlign w:val="center"/>
            <w:tcMar>
              <w:top w:w="80" w:type="dxa"/>
              <w:start w:w="120" w:type="dxa"/>
              <w:bottom w:w="80" w:type="dxa"/>
              <w:end w:w="120" w:type="dxa"/>
            </w:tcMar>
          </w:tcPr>
          <w:p>
            <w:pPr>
              <w:spacing w:after="0"/>
            </w:pPr>
            <w:r>
              <w:rPr>
                <w:sz w:val="18"/>
              </w:rPr>
              <w:t>completeness_report_unknown.xlsx</w:t>
            </w:r>
          </w:p>
        </w:tc>
        <w:tc>
          <w:tcPr>
            <w:tcW w:type="dxa" w:w="5040"/>
            <w:vAlign w:val="center"/>
            <w:tcMar>
              <w:top w:w="80" w:type="dxa"/>
              <w:start w:w="120" w:type="dxa"/>
              <w:bottom w:w="80" w:type="dxa"/>
              <w:end w:w="120" w:type="dxa"/>
            </w:tcMar>
          </w:tcPr>
          <w:p>
            <w:pPr>
              <w:spacing w:after="0"/>
            </w:pPr>
            <w:r>
              <w:rPr>
                <w:sz w:val="18"/>
              </w:rPr>
              <w:t>UNKNOWN</w:t>
            </w:r>
          </w:p>
        </w:tc>
      </w:tr>
    </w:tbl>
    <w:p/>
    <w:p>
      <w:pPr>
        <w:pStyle w:val="Heading1"/>
      </w:pPr>
      <w:r>
        <w:t>Diagnosis Row Extraction</w:t>
      </w:r>
    </w:p>
    <w:p>
      <w:pPr>
        <w:pStyle w:val="BodyText"/>
      </w:pPr>
      <w:r>
        <w:t>Each input workbook is read from the Completeness sheet. The first column is used as the DataFrame index, which means indicator names such as Diagnosis are expected to be stored in that first column.</w:t>
      </w:r>
    </w:p>
    <w:p>
      <w:pPr>
        <w:spacing w:after="60"/>
      </w:pPr>
      <w:r>
        <w:rPr>
          <w:rFonts w:ascii="Consolas" w:hAnsi="Consolas" w:eastAsia="Consolas"/>
          <w:color w:val="1F4E79"/>
          <w:sz w:val="18"/>
        </w:rPr>
        <w:t>df = pd.read_excel(file_path, sheet_name="Completeness", index_col=0)</w:t>
      </w:r>
    </w:p>
    <w:p>
      <w:pPr>
        <w:pStyle w:val="BodyText"/>
      </w:pPr>
      <w:r>
        <w:t>The script normalizes the row labels before searching for Diagnosis. This allows labels such as Diagnosis, diagnosis, or Diagnosis with leading/trailing spaces to be found.</w:t>
      </w:r>
    </w:p>
    <w:p>
      <w:pPr>
        <w:spacing w:after="60"/>
      </w:pPr>
      <w:r>
        <w:rPr>
          <w:rFonts w:ascii="Consolas" w:hAnsi="Consolas" w:eastAsia="Consolas"/>
          <w:color w:val="1F4E79"/>
          <w:sz w:val="18"/>
        </w:rPr>
        <w:t>df.index = df.index.str.strip().str.lower()</w:t>
      </w:r>
    </w:p>
    <w:p>
      <w:pPr>
        <w:spacing w:after="60"/>
      </w:pPr>
      <w:r>
        <w:rPr>
          <w:rFonts w:ascii="Consolas" w:hAnsi="Consolas" w:eastAsia="Consolas"/>
          <w:color w:val="1F4E79"/>
          <w:sz w:val="18"/>
        </w:rPr>
        <w:t>row = df.loc["diagnosis"]</w:t>
      </w:r>
    </w:p>
    <w:p>
      <w:pPr>
        <w:pStyle w:val="BodyText"/>
      </w:pPr>
      <w:r>
        <w:t>If the diagnosis row is not present, that file is skipped and the script continues processing the remaining reports.</w:t>
      </w:r>
    </w:p>
    <w:p>
      <w:pPr>
        <w:pStyle w:val="Heading1"/>
      </w:pPr>
      <w:r>
        <w:t>Monthly Value Extraction</w:t>
      </w:r>
    </w:p>
    <w:p>
      <w:pPr>
        <w:pStyle w:val="BodyText"/>
      </w:pPr>
      <w:r>
        <w:t>The script uses a fixed list of full month names from January through December. For each month, it checks whether that month exists as a column in the diagnosis row.</w:t>
      </w:r>
    </w:p>
    <w:tbl>
      <w:tblPr>
        <w:tblStyle w:val="TableGrid"/>
        <w:tblW w:type="dxa" w:w="9360"/>
        <w:tblLook w:firstColumn="1" w:firstRow="1" w:lastColumn="0" w:lastRow="0" w:noHBand="0" w:noVBand="1" w:val="04A0"/>
        <w:tblInd w:w="120" w:type="dxa"/>
        <w:tblLayout w:type="fixed"/>
      </w:tblPr>
      <w:tblGrid>
        <w:gridCol w:w="3600"/>
        <w:gridCol w:w="5760"/>
      </w:tblGrid>
      <w:tr>
        <w:tc>
          <w:tcPr>
            <w:tcW w:type="dxa" w:w="3600"/>
            <w:shd w:fill="E8EEF5"/>
            <w:vAlign w:val="center"/>
            <w:tcMar>
              <w:top w:w="80" w:type="dxa"/>
              <w:start w:w="120" w:type="dxa"/>
              <w:bottom w:w="80" w:type="dxa"/>
              <w:end w:w="120" w:type="dxa"/>
            </w:tcMar>
          </w:tcPr>
          <w:p>
            <w:pPr>
              <w:spacing w:after="0"/>
            </w:pPr>
            <w:r>
              <w:rPr>
                <w:b/>
                <w:sz w:val="19"/>
              </w:rPr>
              <w:t>Condition</w:t>
            </w:r>
          </w:p>
        </w:tc>
        <w:tc>
          <w:tcPr>
            <w:tcW w:type="dxa" w:w="5760"/>
            <w:shd w:fill="E8EEF5"/>
            <w:vAlign w:val="center"/>
            <w:tcMar>
              <w:top w:w="80" w:type="dxa"/>
              <w:start w:w="120" w:type="dxa"/>
              <w:bottom w:w="80" w:type="dxa"/>
              <w:end w:w="120" w:type="dxa"/>
            </w:tcMar>
          </w:tcPr>
          <w:p>
            <w:pPr>
              <w:spacing w:after="0"/>
            </w:pPr>
            <w:r>
              <w:rPr>
                <w:b/>
                <w:sz w:val="19"/>
              </w:rPr>
              <w:t>Stored value</w:t>
            </w:r>
          </w:p>
        </w:tc>
      </w:tr>
      <w:tr>
        <w:tc>
          <w:tcPr>
            <w:tcW w:type="dxa" w:w="3600"/>
            <w:vAlign w:val="center"/>
            <w:tcMar>
              <w:top w:w="80" w:type="dxa"/>
              <w:start w:w="120" w:type="dxa"/>
              <w:bottom w:w="80" w:type="dxa"/>
              <w:end w:w="120" w:type="dxa"/>
            </w:tcMar>
          </w:tcPr>
          <w:p>
            <w:pPr>
              <w:spacing w:after="0"/>
            </w:pPr>
            <w:r>
              <w:rPr>
                <w:sz w:val="18"/>
              </w:rPr>
              <w:t>Month column exists</w:t>
            </w:r>
          </w:p>
        </w:tc>
        <w:tc>
          <w:tcPr>
            <w:tcW w:type="dxa" w:w="5760"/>
            <w:vAlign w:val="center"/>
            <w:tcMar>
              <w:top w:w="80" w:type="dxa"/>
              <w:start w:w="120" w:type="dxa"/>
              <w:bottom w:w="80" w:type="dxa"/>
              <w:end w:w="120" w:type="dxa"/>
            </w:tcMar>
          </w:tcPr>
          <w:p>
            <w:pPr>
              <w:spacing w:after="0"/>
            </w:pPr>
            <w:r>
              <w:rPr>
                <w:sz w:val="18"/>
              </w:rPr>
              <w:t>The value from the Diagnosis row for that month.</w:t>
            </w:r>
          </w:p>
        </w:tc>
      </w:tr>
      <w:tr>
        <w:tc>
          <w:tcPr>
            <w:tcW w:type="dxa" w:w="3600"/>
            <w:vAlign w:val="center"/>
            <w:tcMar>
              <w:top w:w="80" w:type="dxa"/>
              <w:start w:w="120" w:type="dxa"/>
              <w:bottom w:w="80" w:type="dxa"/>
              <w:end w:w="120" w:type="dxa"/>
            </w:tcMar>
          </w:tcPr>
          <w:p>
            <w:pPr>
              <w:spacing w:after="0"/>
            </w:pPr>
            <w:r>
              <w:rPr>
                <w:sz w:val="18"/>
              </w:rPr>
              <w:t>Month column is missing</w:t>
            </w:r>
          </w:p>
        </w:tc>
        <w:tc>
          <w:tcPr>
            <w:tcW w:type="dxa" w:w="5760"/>
            <w:vAlign w:val="center"/>
            <w:tcMar>
              <w:top w:w="80" w:type="dxa"/>
              <w:start w:w="120" w:type="dxa"/>
              <w:bottom w:w="80" w:type="dxa"/>
              <w:end w:w="120" w:type="dxa"/>
            </w:tcMar>
          </w:tcPr>
          <w:p>
            <w:pPr>
              <w:spacing w:after="0"/>
            </w:pPr>
            <w:r>
              <w:rPr>
                <w:sz w:val="18"/>
              </w:rPr>
              <w:t>None, which later becomes a blank cell in the formatted output.</w:t>
            </w:r>
          </w:p>
        </w:tc>
      </w:tr>
      <w:tr>
        <w:tc>
          <w:tcPr>
            <w:tcW w:type="dxa" w:w="3600"/>
            <w:vAlign w:val="center"/>
            <w:tcMar>
              <w:top w:w="80" w:type="dxa"/>
              <w:start w:w="120" w:type="dxa"/>
              <w:bottom w:w="80" w:type="dxa"/>
              <w:end w:w="120" w:type="dxa"/>
            </w:tcMar>
          </w:tcPr>
          <w:p>
            <w:pPr>
              <w:spacing w:after="0"/>
            </w:pPr>
            <w:r>
              <w:rPr>
                <w:sz w:val="18"/>
              </w:rPr>
              <w:t>Diagnosis row missing</w:t>
            </w:r>
          </w:p>
        </w:tc>
        <w:tc>
          <w:tcPr>
            <w:tcW w:type="dxa" w:w="5760"/>
            <w:vAlign w:val="center"/>
            <w:tcMar>
              <w:top w:w="80" w:type="dxa"/>
              <w:start w:w="120" w:type="dxa"/>
              <w:bottom w:w="80" w:type="dxa"/>
              <w:end w:w="120" w:type="dxa"/>
            </w:tcMar>
          </w:tcPr>
          <w:p>
            <w:pPr>
              <w:spacing w:after="0"/>
            </w:pPr>
            <w:r>
              <w:rPr>
                <w:sz w:val="18"/>
              </w:rPr>
              <w:t>The entire site file is skipped.</w:t>
            </w:r>
          </w:p>
        </w:tc>
      </w:tr>
    </w:tbl>
    <w:p/>
    <w:p>
      <w:pPr>
        <w:spacing w:after="60"/>
      </w:pPr>
      <w:r>
        <w:rPr>
          <w:rFonts w:ascii="Consolas" w:hAnsi="Consolas" w:eastAsia="Consolas"/>
          <w:color w:val="1F4E79"/>
          <w:sz w:val="18"/>
        </w:rPr>
        <w:t>site_data[m] = val if m in row.index else None</w:t>
      </w:r>
    </w:p>
    <w:p>
      <w:pPr>
        <w:pStyle w:val="Heading1"/>
      </w:pPr>
      <w:r>
        <w:t>Consolidated Table Construction</w:t>
      </w:r>
    </w:p>
    <w:p>
      <w:pPr>
        <w:pStyle w:val="BodyText"/>
      </w:pPr>
      <w:r>
        <w:t>The extracted site dictionaries are converted into a DataFrame. In the final table, months are rows and sites are columns.</w:t>
      </w:r>
    </w:p>
    <w:p>
      <w:pPr>
        <w:spacing w:after="60"/>
      </w:pPr>
      <w:r>
        <w:rPr>
          <w:rFonts w:ascii="Consolas" w:hAnsi="Consolas" w:eastAsia="Consolas"/>
          <w:color w:val="1F4E79"/>
          <w:sz w:val="18"/>
        </w:rPr>
        <w:t>final_df = pd.DataFrame(data)</w:t>
      </w:r>
    </w:p>
    <w:p>
      <w:pPr>
        <w:spacing w:after="60"/>
      </w:pPr>
      <w:r>
        <w:rPr>
          <w:rFonts w:ascii="Consolas" w:hAnsi="Consolas" w:eastAsia="Consolas"/>
          <w:color w:val="1F4E79"/>
          <w:sz w:val="18"/>
        </w:rPr>
        <w:t>final_df = final_df.reindex(months)</w:t>
      </w:r>
    </w:p>
    <w:p>
      <w:pPr>
        <w:pStyle w:val="BodyText"/>
      </w:pPr>
      <w:r>
        <w:t>The reindex step enforces January-to-December row order, even if the source reports have columns in a different order.</w:t>
      </w:r>
    </w:p>
    <w:p>
      <w:pPr>
        <w:pStyle w:val="Heading1"/>
      </w:pPr>
      <w:r>
        <w:t>Percentage Formatting</w:t>
      </w:r>
    </w:p>
    <w:p>
      <w:pPr>
        <w:pStyle w:val="BodyText"/>
      </w:pPr>
      <w:r>
        <w:t>After consolidation, every non-missing value is formatted as a percentage string with two decimal places. Missing values become blank strings.</w:t>
      </w:r>
    </w:p>
    <w:p>
      <w:pPr>
        <w:spacing w:after="60"/>
      </w:pPr>
      <w:r>
        <w:rPr>
          <w:rFonts w:ascii="Consolas" w:hAnsi="Consolas" w:eastAsia="Consolas"/>
          <w:color w:val="1F4E79"/>
          <w:sz w:val="18"/>
        </w:rPr>
        <w:t>final_df = final_df.applymap(lambda x: f"{x:.2f}%" if pd.notna(x) else "")</w:t>
      </w:r>
    </w:p>
    <w:p>
      <w:pPr>
        <w:pStyle w:val="BodyText"/>
      </w:pPr>
      <w:r>
        <w:t>This step changes the displayed output to text with percent signs. The script does not add monthly averages or site averages; it only consolidates and formats the diagnosis completeness values.</w:t>
      </w:r>
    </w:p>
    <w:p>
      <w:pPr>
        <w:pStyle w:val="Heading1"/>
      </w:pPr>
      <w:r>
        <w:t>Output Workbook Structure</w:t>
      </w:r>
    </w:p>
    <w:tbl>
      <w:tblPr>
        <w:tblStyle w:val="TableGrid"/>
        <w:tblW w:type="dxa" w:w="9360"/>
        <w:tblLook w:firstColumn="1" w:firstRow="1" w:lastColumn="0" w:lastRow="0" w:noHBand="0" w:noVBand="1" w:val="04A0"/>
        <w:tblInd w:w="120" w:type="dxa"/>
        <w:tblLayout w:type="fixed"/>
      </w:tblPr>
      <w:tblGrid>
        <w:gridCol w:w="2520"/>
        <w:gridCol w:w="6840"/>
      </w:tblGrid>
      <w:tr>
        <w:tc>
          <w:tcPr>
            <w:tcW w:type="dxa" w:w="2520"/>
            <w:shd w:fill="E8EEF5"/>
            <w:vAlign w:val="center"/>
            <w:tcMar>
              <w:top w:w="80" w:type="dxa"/>
              <w:start w:w="120" w:type="dxa"/>
              <w:bottom w:w="80" w:type="dxa"/>
              <w:end w:w="120" w:type="dxa"/>
            </w:tcMar>
          </w:tcPr>
          <w:p>
            <w:pPr>
              <w:spacing w:after="0"/>
            </w:pPr>
            <w:r>
              <w:rPr>
                <w:b/>
                <w:sz w:val="19"/>
              </w:rPr>
              <w:t>Output component</w:t>
            </w:r>
          </w:p>
        </w:tc>
        <w:tc>
          <w:tcPr>
            <w:tcW w:type="dxa" w:w="6840"/>
            <w:shd w:fill="E8EEF5"/>
            <w:vAlign w:val="center"/>
            <w:tcMar>
              <w:top w:w="80" w:type="dxa"/>
              <w:start w:w="120" w:type="dxa"/>
              <w:bottom w:w="80" w:type="dxa"/>
              <w:end w:w="120" w:type="dxa"/>
            </w:tcMar>
          </w:tcPr>
          <w:p>
            <w:pPr>
              <w:spacing w:after="0"/>
            </w:pPr>
            <w:r>
              <w:rPr>
                <w:b/>
                <w:sz w:val="19"/>
              </w:rPr>
              <w:t>Contents</w:t>
            </w:r>
          </w:p>
        </w:tc>
      </w:tr>
      <w:tr>
        <w:tc>
          <w:tcPr>
            <w:tcW w:type="dxa" w:w="2520"/>
            <w:vAlign w:val="center"/>
            <w:tcMar>
              <w:top w:w="80" w:type="dxa"/>
              <w:start w:w="120" w:type="dxa"/>
              <w:bottom w:w="80" w:type="dxa"/>
              <w:end w:w="120" w:type="dxa"/>
            </w:tcMar>
          </w:tcPr>
          <w:p>
            <w:pPr>
              <w:spacing w:after="0"/>
            </w:pPr>
            <w:r>
              <w:rPr>
                <w:sz w:val="18"/>
              </w:rPr>
              <w:t>File name</w:t>
            </w:r>
          </w:p>
        </w:tc>
        <w:tc>
          <w:tcPr>
            <w:tcW w:type="dxa" w:w="6840"/>
            <w:vAlign w:val="center"/>
            <w:tcMar>
              <w:top w:w="80" w:type="dxa"/>
              <w:start w:w="120" w:type="dxa"/>
              <w:bottom w:w="80" w:type="dxa"/>
              <w:end w:w="120" w:type="dxa"/>
            </w:tcMar>
          </w:tcPr>
          <w:p>
            <w:pPr>
              <w:spacing w:after="0"/>
            </w:pPr>
            <w:r>
              <w:rPr>
                <w:sz w:val="18"/>
              </w:rPr>
              <w:t>diagnosis_consolidated.xlsx</w:t>
            </w:r>
          </w:p>
        </w:tc>
      </w:tr>
      <w:tr>
        <w:tc>
          <w:tcPr>
            <w:tcW w:type="dxa" w:w="2520"/>
            <w:vAlign w:val="center"/>
            <w:tcMar>
              <w:top w:w="80" w:type="dxa"/>
              <w:start w:w="120" w:type="dxa"/>
              <w:bottom w:w="80" w:type="dxa"/>
              <w:end w:w="120" w:type="dxa"/>
            </w:tcMar>
          </w:tcPr>
          <w:p>
            <w:pPr>
              <w:spacing w:after="0"/>
            </w:pPr>
            <w:r>
              <w:rPr>
                <w:sz w:val="18"/>
              </w:rPr>
              <w:t>Sheet name</w:t>
            </w:r>
          </w:p>
        </w:tc>
        <w:tc>
          <w:tcPr>
            <w:tcW w:type="dxa" w:w="6840"/>
            <w:vAlign w:val="center"/>
            <w:tcMar>
              <w:top w:w="80" w:type="dxa"/>
              <w:start w:w="120" w:type="dxa"/>
              <w:bottom w:w="80" w:type="dxa"/>
              <w:end w:w="120" w:type="dxa"/>
            </w:tcMar>
          </w:tcPr>
          <w:p>
            <w:pPr>
              <w:spacing w:after="0"/>
            </w:pPr>
            <w:r>
              <w:rPr>
                <w:sz w:val="18"/>
              </w:rPr>
              <w:t>Diagnosis Summary</w:t>
            </w:r>
          </w:p>
        </w:tc>
      </w:tr>
      <w:tr>
        <w:tc>
          <w:tcPr>
            <w:tcW w:type="dxa" w:w="2520"/>
            <w:vAlign w:val="center"/>
            <w:tcMar>
              <w:top w:w="80" w:type="dxa"/>
              <w:start w:w="120" w:type="dxa"/>
              <w:bottom w:w="80" w:type="dxa"/>
              <w:end w:w="120" w:type="dxa"/>
            </w:tcMar>
          </w:tcPr>
          <w:p>
            <w:pPr>
              <w:spacing w:after="0"/>
            </w:pPr>
            <w:r>
              <w:rPr>
                <w:sz w:val="18"/>
              </w:rPr>
              <w:t>Rows</w:t>
            </w:r>
          </w:p>
        </w:tc>
        <w:tc>
          <w:tcPr>
            <w:tcW w:type="dxa" w:w="6840"/>
            <w:vAlign w:val="center"/>
            <w:tcMar>
              <w:top w:w="80" w:type="dxa"/>
              <w:start w:w="120" w:type="dxa"/>
              <w:bottom w:w="80" w:type="dxa"/>
              <w:end w:w="120" w:type="dxa"/>
            </w:tcMar>
          </w:tcPr>
          <w:p>
            <w:pPr>
              <w:spacing w:after="0"/>
            </w:pPr>
            <w:r>
              <w:rPr>
                <w:sz w:val="18"/>
              </w:rPr>
              <w:t>January through December.</w:t>
            </w:r>
          </w:p>
        </w:tc>
      </w:tr>
      <w:tr>
        <w:tc>
          <w:tcPr>
            <w:tcW w:type="dxa" w:w="2520"/>
            <w:vAlign w:val="center"/>
            <w:tcMar>
              <w:top w:w="80" w:type="dxa"/>
              <w:start w:w="120" w:type="dxa"/>
              <w:bottom w:w="80" w:type="dxa"/>
              <w:end w:w="120" w:type="dxa"/>
            </w:tcMar>
          </w:tcPr>
          <w:p>
            <w:pPr>
              <w:spacing w:after="0"/>
            </w:pPr>
            <w:r>
              <w:rPr>
                <w:sz w:val="18"/>
              </w:rPr>
              <w:t>Columns</w:t>
            </w:r>
          </w:p>
        </w:tc>
        <w:tc>
          <w:tcPr>
            <w:tcW w:type="dxa" w:w="6840"/>
            <w:vAlign w:val="center"/>
            <w:tcMar>
              <w:top w:w="80" w:type="dxa"/>
              <w:start w:w="120" w:type="dxa"/>
              <w:bottom w:w="80" w:type="dxa"/>
              <w:end w:w="120" w:type="dxa"/>
            </w:tcMar>
          </w:tcPr>
          <w:p>
            <w:pPr>
              <w:spacing w:after="0"/>
            </w:pPr>
            <w:r>
              <w:rPr>
                <w:sz w:val="18"/>
              </w:rPr>
              <w:t>One column per processed site completeness report.</w:t>
            </w:r>
          </w:p>
        </w:tc>
      </w:tr>
      <w:tr>
        <w:tc>
          <w:tcPr>
            <w:tcW w:type="dxa" w:w="2520"/>
            <w:vAlign w:val="center"/>
            <w:tcMar>
              <w:top w:w="80" w:type="dxa"/>
              <w:start w:w="120" w:type="dxa"/>
              <w:bottom w:w="80" w:type="dxa"/>
              <w:end w:w="120" w:type="dxa"/>
            </w:tcMar>
          </w:tcPr>
          <w:p>
            <w:pPr>
              <w:spacing w:after="0"/>
            </w:pPr>
            <w:r>
              <w:rPr>
                <w:sz w:val="18"/>
              </w:rPr>
              <w:t>Cell values</w:t>
            </w:r>
          </w:p>
        </w:tc>
        <w:tc>
          <w:tcPr>
            <w:tcW w:type="dxa" w:w="6840"/>
            <w:vAlign w:val="center"/>
            <w:tcMar>
              <w:top w:w="80" w:type="dxa"/>
              <w:start w:w="120" w:type="dxa"/>
              <w:bottom w:w="80" w:type="dxa"/>
              <w:end w:w="120" w:type="dxa"/>
            </w:tcMar>
          </w:tcPr>
          <w:p>
            <w:pPr>
              <w:spacing w:after="0"/>
            </w:pPr>
            <w:r>
              <w:rPr>
                <w:sz w:val="18"/>
              </w:rPr>
              <w:t>Diagnosis completeness values formatted as percentages with two decimals.</w:t>
            </w:r>
          </w:p>
        </w:tc>
      </w:tr>
    </w:tbl>
    <w:p/>
    <w:p>
      <w:pPr>
        <w:pStyle w:val="Heading1"/>
      </w:pPr>
      <w:r>
        <w:t>Worked Example</w:t>
      </w:r>
    </w:p>
    <w:p>
      <w:pPr>
        <w:pStyle w:val="BodyText"/>
      </w:pPr>
      <w:r>
        <w:t>Suppose completeness_report_aaa.xlsx contains a Diagnosis row with January = 94.5 and February = 90. The consolidated Diagnosis Summary will place 94.50% and 90.00% under the AAA column for January and February.</w:t>
      </w:r>
    </w:p>
    <w:p>
      <w:pPr>
        <w:pStyle w:val="BodyText"/>
      </w:pPr>
      <w:r>
        <w:t>If March is not present in that source workbook, the March cell under AAA is left blank in the consolidated output.</w:t>
      </w:r>
    </w:p>
    <w:p>
      <w:pPr>
        <w:pStyle w:val="Heading1"/>
      </w:pPr>
      <w:r>
        <w:t>Important Notes and Watch Points</w:t>
      </w:r>
    </w:p>
    <w:p>
      <w:pPr>
        <w:pStyle w:val="ListBullet"/>
      </w:pPr>
      <w:r>
        <w:t>The script expects each input workbook to contain a sheet named exactly Completeness.</w:t>
      </w:r>
    </w:p>
    <w:p>
      <w:pPr>
        <w:pStyle w:val="ListBullet"/>
      </w:pPr>
      <w:r>
        <w:t>The diagnosis indicator must appear in the first column/index of the Completeness sheet.</w:t>
      </w:r>
    </w:p>
    <w:p>
      <w:pPr>
        <w:pStyle w:val="ListBullet"/>
      </w:pPr>
      <w:r>
        <w:t>Diagnosis row matching is case-insensitive and ignores leading/trailing spaces.</w:t>
      </w:r>
    </w:p>
    <w:p>
      <w:pPr>
        <w:pStyle w:val="ListBullet"/>
      </w:pPr>
      <w:r>
        <w:t>Month columns must use full month names such as January and February; abbreviations such as Jan will not match.</w:t>
      </w:r>
    </w:p>
    <w:p>
      <w:pPr>
        <w:pStyle w:val="ListBullet"/>
      </w:pPr>
      <w:r>
        <w:t>No cross-site or annual averages are calculated by this script.</w:t>
      </w:r>
    </w:p>
    <w:p>
      <w:pPr>
        <w:pStyle w:val="ListBullet"/>
      </w:pPr>
      <w:r>
        <w:t>The output file is always named diagnosis_consolidated.xlsx and can overwrite an existing file with that name.</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300" w:lineRule="auto"/>
    </w:pPr>
    <w:rPr>
      <w:rFonts w:ascii="Calibri" w:hAnsi="Calibri" w:eastAsia="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