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0"/>
        </w:rPr>
        <w:t>Context and Detailed Computation Guide for qc_submission.py</w:t>
      </w:r>
    </w:p>
    <w:p>
      <w:pPr>
        <w:spacing w:after="240"/>
      </w:pPr>
      <w:r>
        <w:rPr>
          <w:color w:val="555555"/>
          <w:sz w:val="18"/>
        </w:rPr>
        <w:t>Source folder: D:\PROGRAMMING\TESTINGS\Tools_backup\annual_perf_eval\annual_performance_reports\4_encoding_qc</w:t>
      </w:r>
    </w:p>
    <w:p>
      <w:pPr>
        <w:pStyle w:val="Heading1"/>
      </w:pPr>
      <w:r>
        <w:t>Purpose and Context</w:t>
      </w:r>
    </w:p>
    <w:p>
      <w:pPr>
        <w:pStyle w:val="BodyText"/>
      </w:pPr>
      <w:r>
        <w:t>The script generates encoding quality-control matrices from a folder of monthly Excel files. It checks whether required QC organism records are present for each month and converts those counts into percentage-like scores.</w:t>
      </w:r>
    </w:p>
    <w:p>
      <w:pPr>
        <w:pStyle w:val="BodyText"/>
      </w:pPr>
      <w:r>
        <w:t>The output is organized by site. For every site detected in the input workbooks, the script creates an Excel report containing a full QC matrix for all target organisms and a focused target matrix for Pseudomonas aeruginosa, Staphylococcus aureus, and Escherichia coli.</w:t>
      </w:r>
    </w:p>
    <w:p>
      <w:pPr>
        <w:pStyle w:val="Heading1"/>
      </w:pPr>
      <w:r>
        <w:t>Input and Output</w:t>
      </w:r>
    </w:p>
    <w:tbl>
      <w:tblPr>
        <w:tblStyle w:val="TableGrid"/>
        <w:tblW w:type="dxa" w:w="9360"/>
        <w:tblLook w:firstColumn="1" w:firstRow="1" w:lastColumn="0" w:lastRow="0" w:noHBand="0" w:noVBand="1" w:val="04A0"/>
        <w:tblInd w:w="120" w:type="dxa"/>
        <w:tblLayout w:type="fixed"/>
      </w:tblPr>
      <w:tblGrid>
        <w:gridCol w:w="2160"/>
        <w:gridCol w:w="7200"/>
      </w:tblGrid>
      <w:tr>
        <w:tc>
          <w:tcPr>
            <w:tcW w:type="dxa" w:w="2160"/>
            <w:shd w:fill="E8EEF5"/>
            <w:vAlign w:val="center"/>
            <w:tcMar>
              <w:top w:w="80" w:type="dxa"/>
              <w:start w:w="120" w:type="dxa"/>
              <w:bottom w:w="80" w:type="dxa"/>
              <w:end w:w="120" w:type="dxa"/>
            </w:tcMar>
          </w:tcPr>
          <w:p>
            <w:pPr>
              <w:spacing w:after="0"/>
            </w:pPr>
            <w:r>
              <w:rPr>
                <w:b/>
                <w:sz w:val="19"/>
              </w:rPr>
              <w:t>Item</w:t>
            </w:r>
          </w:p>
        </w:tc>
        <w:tc>
          <w:tcPr>
            <w:tcW w:type="dxa" w:w="7200"/>
            <w:shd w:fill="E8EEF5"/>
            <w:vAlign w:val="center"/>
            <w:tcMar>
              <w:top w:w="80" w:type="dxa"/>
              <w:start w:w="120" w:type="dxa"/>
              <w:bottom w:w="80" w:type="dxa"/>
              <w:end w:w="120" w:type="dxa"/>
            </w:tcMar>
          </w:tcPr>
          <w:p>
            <w:pPr>
              <w:spacing w:after="0"/>
            </w:pPr>
            <w:r>
              <w:rPr>
                <w:b/>
                <w:sz w:val="19"/>
              </w:rPr>
              <w:t>How the script uses it</w:t>
            </w:r>
          </w:p>
        </w:tc>
      </w:tr>
      <w:tr>
        <w:tc>
          <w:tcPr>
            <w:tcW w:type="dxa" w:w="2160"/>
            <w:vAlign w:val="center"/>
            <w:tcMar>
              <w:top w:w="80" w:type="dxa"/>
              <w:start w:w="120" w:type="dxa"/>
              <w:bottom w:w="80" w:type="dxa"/>
              <w:end w:w="120" w:type="dxa"/>
            </w:tcMar>
          </w:tcPr>
          <w:p>
            <w:pPr>
              <w:spacing w:after="0"/>
            </w:pPr>
            <w:r>
              <w:rPr>
                <w:sz w:val="18"/>
              </w:rPr>
              <w:t>Selected folder</w:t>
            </w:r>
          </w:p>
        </w:tc>
        <w:tc>
          <w:tcPr>
            <w:tcW w:type="dxa" w:w="7200"/>
            <w:vAlign w:val="center"/>
            <w:tcMar>
              <w:top w:w="80" w:type="dxa"/>
              <w:start w:w="120" w:type="dxa"/>
              <w:bottom w:w="80" w:type="dxa"/>
              <w:end w:w="120" w:type="dxa"/>
            </w:tcMar>
          </w:tcPr>
          <w:p>
            <w:pPr>
              <w:spacing w:after="0"/>
            </w:pPr>
            <w:r>
              <w:rPr>
                <w:sz w:val="18"/>
              </w:rPr>
              <w:t>The user selects a folder containing monthly Excel workbooks.</w:t>
            </w:r>
          </w:p>
        </w:tc>
      </w:tr>
      <w:tr>
        <w:tc>
          <w:tcPr>
            <w:tcW w:type="dxa" w:w="2160"/>
            <w:vAlign w:val="center"/>
            <w:tcMar>
              <w:top w:w="80" w:type="dxa"/>
              <w:start w:w="120" w:type="dxa"/>
              <w:bottom w:w="80" w:type="dxa"/>
              <w:end w:w="120" w:type="dxa"/>
            </w:tcMar>
          </w:tcPr>
          <w:p>
            <w:pPr>
              <w:spacing w:after="0"/>
            </w:pPr>
            <w:r>
              <w:rPr>
                <w:sz w:val="18"/>
              </w:rPr>
              <w:t>Monthly Excel files</w:t>
            </w:r>
          </w:p>
        </w:tc>
        <w:tc>
          <w:tcPr>
            <w:tcW w:type="dxa" w:w="7200"/>
            <w:vAlign w:val="center"/>
            <w:tcMar>
              <w:top w:w="80" w:type="dxa"/>
              <w:start w:w="120" w:type="dxa"/>
              <w:bottom w:w="80" w:type="dxa"/>
              <w:end w:w="120" w:type="dxa"/>
            </w:tcMar>
          </w:tcPr>
          <w:p>
            <w:pPr>
              <w:spacing w:after="0"/>
            </w:pPr>
            <w:r>
              <w:rPr>
                <w:sz w:val="18"/>
              </w:rPr>
              <w:t>Every .xlsx file in the selected folder is read and processed.</w:t>
            </w:r>
          </w:p>
        </w:tc>
      </w:tr>
      <w:tr>
        <w:tc>
          <w:tcPr>
            <w:tcW w:type="dxa" w:w="2160"/>
            <w:vAlign w:val="center"/>
            <w:tcMar>
              <w:top w:w="80" w:type="dxa"/>
              <w:start w:w="120" w:type="dxa"/>
              <w:bottom w:w="80" w:type="dxa"/>
              <w:end w:w="120" w:type="dxa"/>
            </w:tcMar>
          </w:tcPr>
          <w:p>
            <w:pPr>
              <w:spacing w:after="0"/>
            </w:pPr>
            <w:r>
              <w:rPr>
                <w:sz w:val="18"/>
              </w:rPr>
              <w:t>Filename month code</w:t>
            </w:r>
          </w:p>
        </w:tc>
        <w:tc>
          <w:tcPr>
            <w:tcW w:type="dxa" w:w="7200"/>
            <w:vAlign w:val="center"/>
            <w:tcMar>
              <w:top w:w="80" w:type="dxa"/>
              <w:start w:w="120" w:type="dxa"/>
              <w:bottom w:w="80" w:type="dxa"/>
              <w:end w:w="120" w:type="dxa"/>
            </w:tcMar>
          </w:tcPr>
          <w:p>
            <w:pPr>
              <w:spacing w:after="0"/>
            </w:pPr>
            <w:r>
              <w:rPr>
                <w:sz w:val="18"/>
              </w:rPr>
              <w:t>Characters at filename[1:3] are mapped to Jan through Dec.</w:t>
            </w:r>
          </w:p>
        </w:tc>
      </w:tr>
      <w:tr>
        <w:tc>
          <w:tcPr>
            <w:tcW w:type="dxa" w:w="2160"/>
            <w:vAlign w:val="center"/>
            <w:tcMar>
              <w:top w:w="80" w:type="dxa"/>
              <w:start w:w="120" w:type="dxa"/>
              <w:bottom w:w="80" w:type="dxa"/>
              <w:end w:w="120" w:type="dxa"/>
            </w:tcMar>
          </w:tcPr>
          <w:p>
            <w:pPr>
              <w:spacing w:after="0"/>
            </w:pPr>
            <w:r>
              <w:rPr>
                <w:sz w:val="18"/>
              </w:rPr>
              <w:t>Site code</w:t>
            </w:r>
          </w:p>
        </w:tc>
        <w:tc>
          <w:tcPr>
            <w:tcW w:type="dxa" w:w="7200"/>
            <w:vAlign w:val="center"/>
            <w:tcMar>
              <w:top w:w="80" w:type="dxa"/>
              <w:start w:w="120" w:type="dxa"/>
              <w:bottom w:w="80" w:type="dxa"/>
              <w:end w:w="120" w:type="dxa"/>
            </w:tcMar>
          </w:tcPr>
          <w:p>
            <w:pPr>
              <w:spacing w:after="0"/>
            </w:pPr>
            <w:r>
              <w:rPr>
                <w:sz w:val="18"/>
              </w:rPr>
              <w:t>Read from LABORATORY first; if unavailable, the script falls back to INSTITUT.</w:t>
            </w:r>
          </w:p>
        </w:tc>
      </w:tr>
      <w:tr>
        <w:tc>
          <w:tcPr>
            <w:tcW w:type="dxa" w:w="2160"/>
            <w:vAlign w:val="center"/>
            <w:tcMar>
              <w:top w:w="80" w:type="dxa"/>
              <w:start w:w="120" w:type="dxa"/>
              <w:bottom w:w="80" w:type="dxa"/>
              <w:end w:w="120" w:type="dxa"/>
            </w:tcMar>
          </w:tcPr>
          <w:p>
            <w:pPr>
              <w:spacing w:after="0"/>
            </w:pPr>
            <w:r>
              <w:rPr>
                <w:sz w:val="18"/>
              </w:rPr>
              <w:t>Output workbook</w:t>
            </w:r>
          </w:p>
        </w:tc>
        <w:tc>
          <w:tcPr>
            <w:tcW w:type="dxa" w:w="7200"/>
            <w:vAlign w:val="center"/>
            <w:tcMar>
              <w:top w:w="80" w:type="dxa"/>
              <w:start w:w="120" w:type="dxa"/>
              <w:bottom w:w="80" w:type="dxa"/>
              <w:end w:w="120" w:type="dxa"/>
            </w:tcMar>
          </w:tcPr>
          <w:p>
            <w:pPr>
              <w:spacing w:after="0"/>
            </w:pPr>
            <w:r>
              <w:rPr>
                <w:sz w:val="18"/>
              </w:rPr>
              <w:t>One workbook per site, named qc_matrix_&lt;site&gt;.xlsx, saved in the selected folder.</w:t>
            </w:r>
          </w:p>
        </w:tc>
      </w:tr>
    </w:tbl>
    <w:p/>
    <w:p>
      <w:pPr>
        <w:pStyle w:val="Heading1"/>
      </w:pPr>
      <w:r>
        <w:t>Processing Flow</w:t>
      </w:r>
    </w:p>
    <w:p>
      <w:pPr>
        <w:pStyle w:val="ListBullet"/>
      </w:pPr>
      <w:r>
        <w:t>Open a folder picker and collect all .xlsx files in sorted order.</w:t>
      </w:r>
    </w:p>
    <w:p>
      <w:pPr>
        <w:pStyle w:val="ListBullet"/>
      </w:pPr>
      <w:r>
        <w:t>Read each workbook into a pandas DataFrame and convert blank strings to missing values.</w:t>
      </w:r>
    </w:p>
    <w:p>
      <w:pPr>
        <w:pStyle w:val="ListBullet"/>
      </w:pPr>
      <w:r>
        <w:t>Extract the site code from LABORATORY, or from INSTITUT if LABORATORY is not available.</w:t>
      </w:r>
    </w:p>
    <w:p>
      <w:pPr>
        <w:pStyle w:val="ListBullet"/>
      </w:pPr>
      <w:r>
        <w:t>Extract the reporting month from the filename.</w:t>
      </w:r>
    </w:p>
    <w:p>
      <w:pPr>
        <w:pStyle w:val="ListBullet"/>
      </w:pPr>
      <w:r>
        <w:t>Filter records where SPEC_TYPE equals qc, using lowercase comparison.</w:t>
      </w:r>
    </w:p>
    <w:p>
      <w:pPr>
        <w:pStyle w:val="ListBullet"/>
      </w:pPr>
      <w:r>
        <w:t>For each target organism, count matching ORGANISM records in the QC-only data.</w:t>
      </w:r>
    </w:p>
    <w:p>
      <w:pPr>
        <w:pStyle w:val="ListBullet"/>
      </w:pPr>
      <w:r>
        <w:t>Convert each organism count into a score of 100, 50, or 0.</w:t>
      </w:r>
    </w:p>
    <w:p>
      <w:pPr>
        <w:pStyle w:val="ListBullet"/>
      </w:pPr>
      <w:r>
        <w:t>Store scores by site, organism, and month.</w:t>
      </w:r>
    </w:p>
    <w:p>
      <w:pPr>
        <w:pStyle w:val="ListBullet"/>
      </w:pPr>
      <w:r>
        <w:t>After all files are processed, generate one output workbook per site.</w:t>
      </w:r>
    </w:p>
    <w:p>
      <w:pPr>
        <w:pStyle w:val="Heading1"/>
      </w:pPr>
      <w:r>
        <w:t>Target Organisms</w:t>
      </w:r>
    </w:p>
    <w:p>
      <w:pPr>
        <w:pStyle w:val="BodyText"/>
      </w:pPr>
      <w:r>
        <w:t>The full QC matrix evaluates seven target organism codes. These codes are used exactly as lowercase comparison values after the ORGANISM column is converted to lowercase.</w:t>
      </w:r>
    </w:p>
    <w:p>
      <w:pPr>
        <w:spacing w:after="60"/>
      </w:pPr>
      <w:r>
        <w:rPr>
          <w:rFonts w:ascii="Consolas" w:hAnsi="Consolas" w:eastAsia="Consolas"/>
          <w:color w:val="1F4E79"/>
          <w:sz w:val="18"/>
        </w:rPr>
        <w:t>target_orgs = ["aba", "pae", "sau", "eco", "kpn", "spn", "hin"]</w:t>
      </w:r>
    </w:p>
    <w:tbl>
      <w:tblPr>
        <w:tblStyle w:val="TableGrid"/>
        <w:tblW w:type="dxa" w:w="9360"/>
        <w:tblLook w:firstColumn="1" w:firstRow="1" w:lastColumn="0" w:lastRow="0" w:noHBand="0" w:noVBand="1" w:val="04A0"/>
        <w:tblInd w:w="120" w:type="dxa"/>
        <w:tblLayout w:type="fixed"/>
      </w:tblPr>
      <w:tblGrid>
        <w:gridCol w:w="1800"/>
        <w:gridCol w:w="7560"/>
      </w:tblGrid>
      <w:tr>
        <w:tc>
          <w:tcPr>
            <w:tcW w:type="dxa" w:w="1800"/>
            <w:shd w:fill="E8EEF5"/>
            <w:vAlign w:val="center"/>
            <w:tcMar>
              <w:top w:w="80" w:type="dxa"/>
              <w:start w:w="120" w:type="dxa"/>
              <w:bottom w:w="80" w:type="dxa"/>
              <w:end w:w="120" w:type="dxa"/>
            </w:tcMar>
          </w:tcPr>
          <w:p>
            <w:pPr>
              <w:spacing w:after="0"/>
            </w:pPr>
            <w:r>
              <w:rPr>
                <w:b/>
                <w:sz w:val="19"/>
              </w:rPr>
              <w:t>Code</w:t>
            </w:r>
          </w:p>
        </w:tc>
        <w:tc>
          <w:tcPr>
            <w:tcW w:type="dxa" w:w="7560"/>
            <w:shd w:fill="E8EEF5"/>
            <w:vAlign w:val="center"/>
            <w:tcMar>
              <w:top w:w="80" w:type="dxa"/>
              <w:start w:w="120" w:type="dxa"/>
              <w:bottom w:w="80" w:type="dxa"/>
              <w:end w:w="120" w:type="dxa"/>
            </w:tcMar>
          </w:tcPr>
          <w:p>
            <w:pPr>
              <w:spacing w:after="0"/>
            </w:pPr>
            <w:r>
              <w:rPr>
                <w:b/>
                <w:sz w:val="19"/>
              </w:rPr>
              <w:t>Common organism reference</w:t>
            </w:r>
          </w:p>
        </w:tc>
      </w:tr>
      <w:tr>
        <w:tc>
          <w:tcPr>
            <w:tcW w:type="dxa" w:w="1800"/>
            <w:vAlign w:val="center"/>
            <w:tcMar>
              <w:top w:w="80" w:type="dxa"/>
              <w:start w:w="120" w:type="dxa"/>
              <w:bottom w:w="80" w:type="dxa"/>
              <w:end w:w="120" w:type="dxa"/>
            </w:tcMar>
          </w:tcPr>
          <w:p>
            <w:pPr>
              <w:spacing w:after="0"/>
            </w:pPr>
            <w:r>
              <w:rPr>
                <w:sz w:val="18"/>
              </w:rPr>
              <w:t>aba</w:t>
            </w:r>
          </w:p>
        </w:tc>
        <w:tc>
          <w:tcPr>
            <w:tcW w:type="dxa" w:w="7560"/>
            <w:vAlign w:val="center"/>
            <w:tcMar>
              <w:top w:w="80" w:type="dxa"/>
              <w:start w:w="120" w:type="dxa"/>
              <w:bottom w:w="80" w:type="dxa"/>
              <w:end w:w="120" w:type="dxa"/>
            </w:tcMar>
          </w:tcPr>
          <w:p>
            <w:pPr>
              <w:spacing w:after="0"/>
            </w:pPr>
            <w:r>
              <w:rPr>
                <w:sz w:val="18"/>
              </w:rPr>
              <w:t>Acinetobacter baumannii</w:t>
            </w:r>
          </w:p>
        </w:tc>
      </w:tr>
      <w:tr>
        <w:tc>
          <w:tcPr>
            <w:tcW w:type="dxa" w:w="1800"/>
            <w:vAlign w:val="center"/>
            <w:tcMar>
              <w:top w:w="80" w:type="dxa"/>
              <w:start w:w="120" w:type="dxa"/>
              <w:bottom w:w="80" w:type="dxa"/>
              <w:end w:w="120" w:type="dxa"/>
            </w:tcMar>
          </w:tcPr>
          <w:p>
            <w:pPr>
              <w:spacing w:after="0"/>
            </w:pPr>
            <w:r>
              <w:rPr>
                <w:sz w:val="18"/>
              </w:rPr>
              <w:t>pae</w:t>
            </w:r>
          </w:p>
        </w:tc>
        <w:tc>
          <w:tcPr>
            <w:tcW w:type="dxa" w:w="7560"/>
            <w:vAlign w:val="center"/>
            <w:tcMar>
              <w:top w:w="80" w:type="dxa"/>
              <w:start w:w="120" w:type="dxa"/>
              <w:bottom w:w="80" w:type="dxa"/>
              <w:end w:w="120" w:type="dxa"/>
            </w:tcMar>
          </w:tcPr>
          <w:p>
            <w:pPr>
              <w:spacing w:after="0"/>
            </w:pPr>
            <w:r>
              <w:rPr>
                <w:sz w:val="18"/>
              </w:rPr>
              <w:t>Pseudomonas aeruginosa</w:t>
            </w:r>
          </w:p>
        </w:tc>
      </w:tr>
      <w:tr>
        <w:tc>
          <w:tcPr>
            <w:tcW w:type="dxa" w:w="1800"/>
            <w:vAlign w:val="center"/>
            <w:tcMar>
              <w:top w:w="80" w:type="dxa"/>
              <w:start w:w="120" w:type="dxa"/>
              <w:bottom w:w="80" w:type="dxa"/>
              <w:end w:w="120" w:type="dxa"/>
            </w:tcMar>
          </w:tcPr>
          <w:p>
            <w:pPr>
              <w:spacing w:after="0"/>
            </w:pPr>
            <w:r>
              <w:rPr>
                <w:sz w:val="18"/>
              </w:rPr>
              <w:t>sau</w:t>
            </w:r>
          </w:p>
        </w:tc>
        <w:tc>
          <w:tcPr>
            <w:tcW w:type="dxa" w:w="7560"/>
            <w:vAlign w:val="center"/>
            <w:tcMar>
              <w:top w:w="80" w:type="dxa"/>
              <w:start w:w="120" w:type="dxa"/>
              <w:bottom w:w="80" w:type="dxa"/>
              <w:end w:w="120" w:type="dxa"/>
            </w:tcMar>
          </w:tcPr>
          <w:p>
            <w:pPr>
              <w:spacing w:after="0"/>
            </w:pPr>
            <w:r>
              <w:rPr>
                <w:sz w:val="18"/>
              </w:rPr>
              <w:t>Staphylococcus aureus</w:t>
            </w:r>
          </w:p>
        </w:tc>
      </w:tr>
      <w:tr>
        <w:tc>
          <w:tcPr>
            <w:tcW w:type="dxa" w:w="1800"/>
            <w:vAlign w:val="center"/>
            <w:tcMar>
              <w:top w:w="80" w:type="dxa"/>
              <w:start w:w="120" w:type="dxa"/>
              <w:bottom w:w="80" w:type="dxa"/>
              <w:end w:w="120" w:type="dxa"/>
            </w:tcMar>
          </w:tcPr>
          <w:p>
            <w:pPr>
              <w:spacing w:after="0"/>
            </w:pPr>
            <w:r>
              <w:rPr>
                <w:sz w:val="18"/>
              </w:rPr>
              <w:t>eco</w:t>
            </w:r>
          </w:p>
        </w:tc>
        <w:tc>
          <w:tcPr>
            <w:tcW w:type="dxa" w:w="7560"/>
            <w:vAlign w:val="center"/>
            <w:tcMar>
              <w:top w:w="80" w:type="dxa"/>
              <w:start w:w="120" w:type="dxa"/>
              <w:bottom w:w="80" w:type="dxa"/>
              <w:end w:w="120" w:type="dxa"/>
            </w:tcMar>
          </w:tcPr>
          <w:p>
            <w:pPr>
              <w:spacing w:after="0"/>
            </w:pPr>
            <w:r>
              <w:rPr>
                <w:sz w:val="18"/>
              </w:rPr>
              <w:t>Escherichia coli</w:t>
            </w:r>
          </w:p>
        </w:tc>
      </w:tr>
      <w:tr>
        <w:tc>
          <w:tcPr>
            <w:tcW w:type="dxa" w:w="1800"/>
            <w:vAlign w:val="center"/>
            <w:tcMar>
              <w:top w:w="80" w:type="dxa"/>
              <w:start w:w="120" w:type="dxa"/>
              <w:bottom w:w="80" w:type="dxa"/>
              <w:end w:w="120" w:type="dxa"/>
            </w:tcMar>
          </w:tcPr>
          <w:p>
            <w:pPr>
              <w:spacing w:after="0"/>
            </w:pPr>
            <w:r>
              <w:rPr>
                <w:sz w:val="18"/>
              </w:rPr>
              <w:t>kpn</w:t>
            </w:r>
          </w:p>
        </w:tc>
        <w:tc>
          <w:tcPr>
            <w:tcW w:type="dxa" w:w="7560"/>
            <w:vAlign w:val="center"/>
            <w:tcMar>
              <w:top w:w="80" w:type="dxa"/>
              <w:start w:w="120" w:type="dxa"/>
              <w:bottom w:w="80" w:type="dxa"/>
              <w:end w:w="120" w:type="dxa"/>
            </w:tcMar>
          </w:tcPr>
          <w:p>
            <w:pPr>
              <w:spacing w:after="0"/>
            </w:pPr>
            <w:r>
              <w:rPr>
                <w:sz w:val="18"/>
              </w:rPr>
              <w:t>Klebsiella pneumoniae</w:t>
            </w:r>
          </w:p>
        </w:tc>
      </w:tr>
      <w:tr>
        <w:tc>
          <w:tcPr>
            <w:tcW w:type="dxa" w:w="1800"/>
            <w:vAlign w:val="center"/>
            <w:tcMar>
              <w:top w:w="80" w:type="dxa"/>
              <w:start w:w="120" w:type="dxa"/>
              <w:bottom w:w="80" w:type="dxa"/>
              <w:end w:w="120" w:type="dxa"/>
            </w:tcMar>
          </w:tcPr>
          <w:p>
            <w:pPr>
              <w:spacing w:after="0"/>
            </w:pPr>
            <w:r>
              <w:rPr>
                <w:sz w:val="18"/>
              </w:rPr>
              <w:t>spn</w:t>
            </w:r>
          </w:p>
        </w:tc>
        <w:tc>
          <w:tcPr>
            <w:tcW w:type="dxa" w:w="7560"/>
            <w:vAlign w:val="center"/>
            <w:tcMar>
              <w:top w:w="80" w:type="dxa"/>
              <w:start w:w="120" w:type="dxa"/>
              <w:bottom w:w="80" w:type="dxa"/>
              <w:end w:w="120" w:type="dxa"/>
            </w:tcMar>
          </w:tcPr>
          <w:p>
            <w:pPr>
              <w:spacing w:after="0"/>
            </w:pPr>
            <w:r>
              <w:rPr>
                <w:sz w:val="18"/>
              </w:rPr>
              <w:t>Streptococcus pneumoniae</w:t>
            </w:r>
          </w:p>
        </w:tc>
      </w:tr>
      <w:tr>
        <w:tc>
          <w:tcPr>
            <w:tcW w:type="dxa" w:w="1800"/>
            <w:vAlign w:val="center"/>
            <w:tcMar>
              <w:top w:w="80" w:type="dxa"/>
              <w:start w:w="120" w:type="dxa"/>
              <w:bottom w:w="80" w:type="dxa"/>
              <w:end w:w="120" w:type="dxa"/>
            </w:tcMar>
          </w:tcPr>
          <w:p>
            <w:pPr>
              <w:spacing w:after="0"/>
            </w:pPr>
            <w:r>
              <w:rPr>
                <w:sz w:val="18"/>
              </w:rPr>
              <w:t>hin</w:t>
            </w:r>
          </w:p>
        </w:tc>
        <w:tc>
          <w:tcPr>
            <w:tcW w:type="dxa" w:w="7560"/>
            <w:vAlign w:val="center"/>
            <w:tcMar>
              <w:top w:w="80" w:type="dxa"/>
              <w:start w:w="120" w:type="dxa"/>
              <w:bottom w:w="80" w:type="dxa"/>
              <w:end w:w="120" w:type="dxa"/>
            </w:tcMar>
          </w:tcPr>
          <w:p>
            <w:pPr>
              <w:spacing w:after="0"/>
            </w:pPr>
            <w:r>
              <w:rPr>
                <w:sz w:val="18"/>
              </w:rPr>
              <w:t>Haemophilus influenzae</w:t>
            </w:r>
          </w:p>
        </w:tc>
      </w:tr>
    </w:tbl>
    <w:p/>
    <w:p>
      <w:pPr>
        <w:pStyle w:val="Heading1"/>
      </w:pPr>
      <w:r>
        <w:t>QC Record Filtering</w:t>
      </w:r>
    </w:p>
    <w:p>
      <w:pPr>
        <w:pStyle w:val="BodyText"/>
      </w:pPr>
      <w:r>
        <w:t>Only records with SPEC_TYPE equal to qc are included in the organism-count calculation. Missing SPEC_TYPE values are filled with an empty string before comparison, and the comparison is case-insensitive.</w:t>
      </w:r>
    </w:p>
    <w:p>
      <w:pPr>
        <w:spacing w:after="60"/>
      </w:pPr>
      <w:r>
        <w:rPr>
          <w:rFonts w:ascii="Consolas" w:hAnsi="Consolas" w:eastAsia="Consolas"/>
          <w:color w:val="1F4E79"/>
          <w:sz w:val="18"/>
        </w:rPr>
        <w:t>qc_df = df[df["SPEC_TYPE"].fillna("").str.lower() == "qc"]</w:t>
      </w:r>
    </w:p>
    <w:p>
      <w:pPr>
        <w:pStyle w:val="BodyText"/>
      </w:pPr>
      <w:r>
        <w:t>If no QC records are available, or if the ORGANISM column is missing, all target organisms for that month receive a score of 0.</w:t>
      </w:r>
    </w:p>
    <w:p>
      <w:pPr>
        <w:pStyle w:val="Heading1"/>
      </w:pPr>
      <w:r>
        <w:t>Scoring Rule</w:t>
      </w:r>
    </w:p>
    <w:p>
      <w:pPr>
        <w:pStyle w:val="BodyText"/>
      </w:pPr>
      <w:r>
        <w:t>For each target organism, the script counts how many QC rows have an ORGANISM value exactly equal to that organism code. The count is then converted to a score.</w:t>
      </w:r>
    </w:p>
    <w:tbl>
      <w:tblPr>
        <w:tblStyle w:val="TableGrid"/>
        <w:tblW w:type="dxa" w:w="9360"/>
        <w:tblLook w:firstColumn="1" w:firstRow="1" w:lastColumn="0" w:lastRow="0" w:noHBand="0" w:noVBand="1" w:val="04A0"/>
        <w:tblInd w:w="120" w:type="dxa"/>
        <w:tblLayout w:type="fixed"/>
      </w:tblPr>
      <w:tblGrid>
        <w:gridCol w:w="2700"/>
        <w:gridCol w:w="1440"/>
        <w:gridCol w:w="5220"/>
      </w:tblGrid>
      <w:tr>
        <w:tc>
          <w:tcPr>
            <w:tcW w:type="dxa" w:w="2700"/>
            <w:shd w:fill="E8EEF5"/>
            <w:vAlign w:val="center"/>
            <w:tcMar>
              <w:top w:w="80" w:type="dxa"/>
              <w:start w:w="120" w:type="dxa"/>
              <w:bottom w:w="80" w:type="dxa"/>
              <w:end w:w="120" w:type="dxa"/>
            </w:tcMar>
          </w:tcPr>
          <w:p>
            <w:pPr>
              <w:spacing w:after="0"/>
            </w:pPr>
            <w:r>
              <w:rPr>
                <w:b/>
                <w:sz w:val="19"/>
              </w:rPr>
              <w:t>QC organism count</w:t>
            </w:r>
          </w:p>
        </w:tc>
        <w:tc>
          <w:tcPr>
            <w:tcW w:type="dxa" w:w="1440"/>
            <w:shd w:fill="E8EEF5"/>
            <w:vAlign w:val="center"/>
            <w:tcMar>
              <w:top w:w="80" w:type="dxa"/>
              <w:start w:w="120" w:type="dxa"/>
              <w:bottom w:w="80" w:type="dxa"/>
              <w:end w:w="120" w:type="dxa"/>
            </w:tcMar>
          </w:tcPr>
          <w:p>
            <w:pPr>
              <w:spacing w:after="0"/>
            </w:pPr>
            <w:r>
              <w:rPr>
                <w:b/>
                <w:sz w:val="19"/>
              </w:rPr>
              <w:t>Score</w:t>
            </w:r>
          </w:p>
        </w:tc>
        <w:tc>
          <w:tcPr>
            <w:tcW w:type="dxa" w:w="5220"/>
            <w:shd w:fill="E8EEF5"/>
            <w:vAlign w:val="center"/>
            <w:tcMar>
              <w:top w:w="80" w:type="dxa"/>
              <w:start w:w="120" w:type="dxa"/>
              <w:bottom w:w="80" w:type="dxa"/>
              <w:end w:w="120" w:type="dxa"/>
            </w:tcMar>
          </w:tcPr>
          <w:p>
            <w:pPr>
              <w:spacing w:after="0"/>
            </w:pPr>
            <w:r>
              <w:rPr>
                <w:b/>
                <w:sz w:val="19"/>
              </w:rPr>
              <w:t>Meaning</w:t>
            </w:r>
          </w:p>
        </w:tc>
      </w:tr>
      <w:tr>
        <w:tc>
          <w:tcPr>
            <w:tcW w:type="dxa" w:w="2700"/>
            <w:vAlign w:val="center"/>
            <w:tcMar>
              <w:top w:w="80" w:type="dxa"/>
              <w:start w:w="120" w:type="dxa"/>
              <w:bottom w:w="80" w:type="dxa"/>
              <w:end w:w="120" w:type="dxa"/>
            </w:tcMar>
          </w:tcPr>
          <w:p>
            <w:pPr>
              <w:spacing w:after="0"/>
            </w:pPr>
            <w:r>
              <w:rPr>
                <w:sz w:val="18"/>
              </w:rPr>
              <w:t>2 or more</w:t>
            </w:r>
          </w:p>
        </w:tc>
        <w:tc>
          <w:tcPr>
            <w:tcW w:type="dxa" w:w="1440"/>
            <w:vAlign w:val="center"/>
            <w:tcMar>
              <w:top w:w="80" w:type="dxa"/>
              <w:start w:w="120" w:type="dxa"/>
              <w:bottom w:w="80" w:type="dxa"/>
              <w:end w:w="120" w:type="dxa"/>
            </w:tcMar>
          </w:tcPr>
          <w:p>
            <w:pPr>
              <w:spacing w:after="0"/>
            </w:pPr>
            <w:r>
              <w:rPr>
                <w:sz w:val="18"/>
              </w:rPr>
              <w:t>100</w:t>
            </w:r>
          </w:p>
        </w:tc>
        <w:tc>
          <w:tcPr>
            <w:tcW w:type="dxa" w:w="5220"/>
            <w:vAlign w:val="center"/>
            <w:tcMar>
              <w:top w:w="80" w:type="dxa"/>
              <w:start w:w="120" w:type="dxa"/>
              <w:bottom w:w="80" w:type="dxa"/>
              <w:end w:w="120" w:type="dxa"/>
            </w:tcMar>
          </w:tcPr>
          <w:p>
            <w:pPr>
              <w:spacing w:after="0"/>
            </w:pPr>
            <w:r>
              <w:rPr>
                <w:sz w:val="18"/>
              </w:rPr>
              <w:t>The expected QC encoding requirement is fully met.</w:t>
            </w:r>
          </w:p>
        </w:tc>
      </w:tr>
      <w:tr>
        <w:tc>
          <w:tcPr>
            <w:tcW w:type="dxa" w:w="2700"/>
            <w:vAlign w:val="center"/>
            <w:tcMar>
              <w:top w:w="80" w:type="dxa"/>
              <w:start w:w="120" w:type="dxa"/>
              <w:bottom w:w="80" w:type="dxa"/>
              <w:end w:w="120" w:type="dxa"/>
            </w:tcMar>
          </w:tcPr>
          <w:p>
            <w:pPr>
              <w:spacing w:after="0"/>
            </w:pPr>
            <w:r>
              <w:rPr>
                <w:sz w:val="18"/>
              </w:rPr>
              <w:t>1</w:t>
            </w:r>
          </w:p>
        </w:tc>
        <w:tc>
          <w:tcPr>
            <w:tcW w:type="dxa" w:w="1440"/>
            <w:vAlign w:val="center"/>
            <w:tcMar>
              <w:top w:w="80" w:type="dxa"/>
              <w:start w:w="120" w:type="dxa"/>
              <w:bottom w:w="80" w:type="dxa"/>
              <w:end w:w="120" w:type="dxa"/>
            </w:tcMar>
          </w:tcPr>
          <w:p>
            <w:pPr>
              <w:spacing w:after="0"/>
            </w:pPr>
            <w:r>
              <w:rPr>
                <w:sz w:val="18"/>
              </w:rPr>
              <w:t>50</w:t>
            </w:r>
          </w:p>
        </w:tc>
        <w:tc>
          <w:tcPr>
            <w:tcW w:type="dxa" w:w="5220"/>
            <w:vAlign w:val="center"/>
            <w:tcMar>
              <w:top w:w="80" w:type="dxa"/>
              <w:start w:w="120" w:type="dxa"/>
              <w:bottom w:w="80" w:type="dxa"/>
              <w:end w:w="120" w:type="dxa"/>
            </w:tcMar>
          </w:tcPr>
          <w:p>
            <w:pPr>
              <w:spacing w:after="0"/>
            </w:pPr>
            <w:r>
              <w:rPr>
                <w:sz w:val="18"/>
              </w:rPr>
              <w:t>The organism appears once, so the requirement is partially met.</w:t>
            </w:r>
          </w:p>
        </w:tc>
      </w:tr>
      <w:tr>
        <w:tc>
          <w:tcPr>
            <w:tcW w:type="dxa" w:w="2700"/>
            <w:vAlign w:val="center"/>
            <w:tcMar>
              <w:top w:w="80" w:type="dxa"/>
              <w:start w:w="120" w:type="dxa"/>
              <w:bottom w:w="80" w:type="dxa"/>
              <w:end w:w="120" w:type="dxa"/>
            </w:tcMar>
          </w:tcPr>
          <w:p>
            <w:pPr>
              <w:spacing w:after="0"/>
            </w:pPr>
            <w:r>
              <w:rPr>
                <w:sz w:val="18"/>
              </w:rPr>
              <w:t>0</w:t>
            </w:r>
          </w:p>
        </w:tc>
        <w:tc>
          <w:tcPr>
            <w:tcW w:type="dxa" w:w="1440"/>
            <w:vAlign w:val="center"/>
            <w:tcMar>
              <w:top w:w="80" w:type="dxa"/>
              <w:start w:w="120" w:type="dxa"/>
              <w:bottom w:w="80" w:type="dxa"/>
              <w:end w:w="120" w:type="dxa"/>
            </w:tcMar>
          </w:tcPr>
          <w:p>
            <w:pPr>
              <w:spacing w:after="0"/>
            </w:pPr>
            <w:r>
              <w:rPr>
                <w:sz w:val="18"/>
              </w:rPr>
              <w:t>0</w:t>
            </w:r>
          </w:p>
        </w:tc>
        <w:tc>
          <w:tcPr>
            <w:tcW w:type="dxa" w:w="5220"/>
            <w:vAlign w:val="center"/>
            <w:tcMar>
              <w:top w:w="80" w:type="dxa"/>
              <w:start w:w="120" w:type="dxa"/>
              <w:bottom w:w="80" w:type="dxa"/>
              <w:end w:w="120" w:type="dxa"/>
            </w:tcMar>
          </w:tcPr>
          <w:p>
            <w:pPr>
              <w:spacing w:after="0"/>
            </w:pPr>
            <w:r>
              <w:rPr>
                <w:sz w:val="18"/>
              </w:rPr>
              <w:t>The organism is missing from QC records for that month.</w:t>
            </w:r>
          </w:p>
        </w:tc>
      </w:tr>
    </w:tbl>
    <w:p/>
    <w:p>
      <w:pPr>
        <w:spacing w:after="60"/>
      </w:pPr>
      <w:r>
        <w:rPr>
          <w:rFonts w:ascii="Consolas" w:hAnsi="Consolas" w:eastAsia="Consolas"/>
          <w:color w:val="1F4E79"/>
          <w:sz w:val="18"/>
        </w:rPr>
        <w:t>score = 100 if count &gt;= 2 else 50 if count == 1 else 0</w:t>
      </w:r>
    </w:p>
    <w:p>
      <w:pPr>
        <w:pStyle w:val="Heading1"/>
      </w:pPr>
      <w:r>
        <w:t>Matrix Assembly</w:t>
      </w:r>
    </w:p>
    <w:p>
      <w:pPr>
        <w:pStyle w:val="BodyText"/>
      </w:pPr>
      <w:r>
        <w:t>The script stores scores in a nested site_data dictionary. Each site has one dictionary per organism, and each organism stores monthly scores. This structure is converted into a DataFrame where rows are organisms and columns are months.</w:t>
      </w:r>
    </w:p>
    <w:p>
      <w:pPr>
        <w:spacing w:after="60"/>
      </w:pPr>
      <w:r>
        <w:rPr>
          <w:rFonts w:ascii="Consolas" w:hAnsi="Consolas" w:eastAsia="Consolas"/>
          <w:color w:val="1F4E79"/>
          <w:sz w:val="18"/>
        </w:rPr>
        <w:t>df_out = pd.DataFrame(org_data).T</w:t>
      </w:r>
    </w:p>
    <w:p>
      <w:pPr>
        <w:pStyle w:val="BodyText"/>
      </w:pPr>
      <w:r>
        <w:t>The matrix is reindexed to fixed calendar order from Jan to Dec. Any missing month score becomes 0, which means months without a processed value reduce the row and column averages.</w:t>
      </w:r>
    </w:p>
    <w:p>
      <w:pPr>
        <w:spacing w:after="60"/>
      </w:pPr>
      <w:r>
        <w:rPr>
          <w:rFonts w:ascii="Consolas" w:hAnsi="Consolas" w:eastAsia="Consolas"/>
          <w:color w:val="1F4E79"/>
          <w:sz w:val="18"/>
        </w:rPr>
        <w:t>df_out = df_out.reindex(columns=ordered_months).fillna(0)</w:t>
      </w:r>
    </w:p>
    <w:p>
      <w:pPr>
        <w:pStyle w:val="Heading1"/>
      </w:pPr>
      <w:r>
        <w:t>Average Computations</w:t>
      </w:r>
    </w:p>
    <w:p>
      <w:pPr>
        <w:pStyle w:val="BodyText"/>
      </w:pPr>
      <w:r>
        <w:t>Two average layers are computed in the full QC matrix. Row averages summarize each organism across the twelve months. The Monthly Avg row summarizes all organisms for each month, then computes an overall average from those monthly averages.</w:t>
      </w:r>
    </w:p>
    <w:tbl>
      <w:tblPr>
        <w:tblStyle w:val="TableGrid"/>
        <w:tblW w:type="dxa" w:w="9360"/>
        <w:tblLook w:firstColumn="1" w:firstRow="1" w:lastColumn="0" w:lastRow="0" w:noHBand="0" w:noVBand="1" w:val="04A0"/>
        <w:tblInd w:w="120" w:type="dxa"/>
        <w:tblLayout w:type="fixed"/>
      </w:tblPr>
      <w:tblGrid>
        <w:gridCol w:w="2160"/>
        <w:gridCol w:w="3600"/>
        <w:gridCol w:w="3600"/>
      </w:tblGrid>
      <w:tr>
        <w:tc>
          <w:tcPr>
            <w:tcW w:type="dxa" w:w="2160"/>
            <w:shd w:fill="E8EEF5"/>
            <w:vAlign w:val="center"/>
            <w:tcMar>
              <w:top w:w="80" w:type="dxa"/>
              <w:start w:w="120" w:type="dxa"/>
              <w:bottom w:w="80" w:type="dxa"/>
              <w:end w:w="120" w:type="dxa"/>
            </w:tcMar>
          </w:tcPr>
          <w:p>
            <w:pPr>
              <w:spacing w:after="0"/>
            </w:pPr>
            <w:r>
              <w:rPr>
                <w:b/>
                <w:sz w:val="19"/>
              </w:rPr>
              <w:t>Average</w:t>
            </w:r>
          </w:p>
        </w:tc>
        <w:tc>
          <w:tcPr>
            <w:tcW w:type="dxa" w:w="3600"/>
            <w:shd w:fill="E8EEF5"/>
            <w:vAlign w:val="center"/>
            <w:tcMar>
              <w:top w:w="80" w:type="dxa"/>
              <w:start w:w="120" w:type="dxa"/>
              <w:bottom w:w="80" w:type="dxa"/>
              <w:end w:w="120" w:type="dxa"/>
            </w:tcMar>
          </w:tcPr>
          <w:p>
            <w:pPr>
              <w:spacing w:after="0"/>
            </w:pPr>
            <w:r>
              <w:rPr>
                <w:b/>
                <w:sz w:val="19"/>
              </w:rPr>
              <w:t>Formula used by the script</w:t>
            </w:r>
          </w:p>
        </w:tc>
        <w:tc>
          <w:tcPr>
            <w:tcW w:type="dxa" w:w="3600"/>
            <w:shd w:fill="E8EEF5"/>
            <w:vAlign w:val="center"/>
            <w:tcMar>
              <w:top w:w="80" w:type="dxa"/>
              <w:start w:w="120" w:type="dxa"/>
              <w:bottom w:w="80" w:type="dxa"/>
              <w:end w:w="120" w:type="dxa"/>
            </w:tcMar>
          </w:tcPr>
          <w:p>
            <w:pPr>
              <w:spacing w:after="0"/>
            </w:pPr>
            <w:r>
              <w:rPr>
                <w:b/>
                <w:sz w:val="19"/>
              </w:rPr>
              <w:t>Interpretation</w:t>
            </w:r>
          </w:p>
        </w:tc>
      </w:tr>
      <w:tr>
        <w:tc>
          <w:tcPr>
            <w:tcW w:type="dxa" w:w="2160"/>
            <w:vAlign w:val="center"/>
            <w:tcMar>
              <w:top w:w="80" w:type="dxa"/>
              <w:start w:w="120" w:type="dxa"/>
              <w:bottom w:w="80" w:type="dxa"/>
              <w:end w:w="120" w:type="dxa"/>
            </w:tcMar>
          </w:tcPr>
          <w:p>
            <w:pPr>
              <w:spacing w:after="0"/>
            </w:pPr>
            <w:r>
              <w:rPr>
                <w:sz w:val="18"/>
              </w:rPr>
              <w:t>Organism Average %</w:t>
            </w:r>
          </w:p>
        </w:tc>
        <w:tc>
          <w:tcPr>
            <w:tcW w:type="dxa" w:w="3600"/>
            <w:vAlign w:val="center"/>
            <w:tcMar>
              <w:top w:w="80" w:type="dxa"/>
              <w:start w:w="120" w:type="dxa"/>
              <w:bottom w:w="80" w:type="dxa"/>
              <w:end w:w="120" w:type="dxa"/>
            </w:tcMar>
          </w:tcPr>
          <w:p>
            <w:pPr>
              <w:spacing w:after="0"/>
            </w:pPr>
            <w:r>
              <w:rPr>
                <w:sz w:val="18"/>
              </w:rPr>
              <w:t>Mean of Jan-Dec scores for one organism, rounded to 0 decimals.</w:t>
            </w:r>
          </w:p>
        </w:tc>
        <w:tc>
          <w:tcPr>
            <w:tcW w:type="dxa" w:w="3600"/>
            <w:vAlign w:val="center"/>
            <w:tcMar>
              <w:top w:w="80" w:type="dxa"/>
              <w:start w:w="120" w:type="dxa"/>
              <w:bottom w:w="80" w:type="dxa"/>
              <w:end w:w="120" w:type="dxa"/>
            </w:tcMar>
          </w:tcPr>
          <w:p>
            <w:pPr>
              <w:spacing w:after="0"/>
            </w:pPr>
            <w:r>
              <w:rPr>
                <w:sz w:val="18"/>
              </w:rPr>
              <w:t>Year-level score for that organism.</w:t>
            </w:r>
          </w:p>
        </w:tc>
      </w:tr>
      <w:tr>
        <w:tc>
          <w:tcPr>
            <w:tcW w:type="dxa" w:w="2160"/>
            <w:vAlign w:val="center"/>
            <w:tcMar>
              <w:top w:w="80" w:type="dxa"/>
              <w:start w:w="120" w:type="dxa"/>
              <w:bottom w:w="80" w:type="dxa"/>
              <w:end w:w="120" w:type="dxa"/>
            </w:tcMar>
          </w:tcPr>
          <w:p>
            <w:pPr>
              <w:spacing w:after="0"/>
            </w:pPr>
            <w:r>
              <w:rPr>
                <w:sz w:val="18"/>
              </w:rPr>
              <w:t>Monthly Avg by month</w:t>
            </w:r>
          </w:p>
        </w:tc>
        <w:tc>
          <w:tcPr>
            <w:tcW w:type="dxa" w:w="3600"/>
            <w:vAlign w:val="center"/>
            <w:tcMar>
              <w:top w:w="80" w:type="dxa"/>
              <w:start w:w="120" w:type="dxa"/>
              <w:bottom w:w="80" w:type="dxa"/>
              <w:end w:w="120" w:type="dxa"/>
            </w:tcMar>
          </w:tcPr>
          <w:p>
            <w:pPr>
              <w:spacing w:after="0"/>
            </w:pPr>
            <w:r>
              <w:rPr>
                <w:sz w:val="18"/>
              </w:rPr>
              <w:t>Mean of all organism scores in that month, rounded to 0 decimals.</w:t>
            </w:r>
          </w:p>
        </w:tc>
        <w:tc>
          <w:tcPr>
            <w:tcW w:type="dxa" w:w="3600"/>
            <w:vAlign w:val="center"/>
            <w:tcMar>
              <w:top w:w="80" w:type="dxa"/>
              <w:start w:w="120" w:type="dxa"/>
              <w:bottom w:w="80" w:type="dxa"/>
              <w:end w:w="120" w:type="dxa"/>
            </w:tcMar>
          </w:tcPr>
          <w:p>
            <w:pPr>
              <w:spacing w:after="0"/>
            </w:pPr>
            <w:r>
              <w:rPr>
                <w:sz w:val="18"/>
              </w:rPr>
              <w:t>Month-level QC performance across all target organisms.</w:t>
            </w:r>
          </w:p>
        </w:tc>
      </w:tr>
      <w:tr>
        <w:tc>
          <w:tcPr>
            <w:tcW w:type="dxa" w:w="2160"/>
            <w:vAlign w:val="center"/>
            <w:tcMar>
              <w:top w:w="80" w:type="dxa"/>
              <w:start w:w="120" w:type="dxa"/>
              <w:bottom w:w="80" w:type="dxa"/>
              <w:end w:w="120" w:type="dxa"/>
            </w:tcMar>
          </w:tcPr>
          <w:p>
            <w:pPr>
              <w:spacing w:after="0"/>
            </w:pPr>
            <w:r>
              <w:rPr>
                <w:sz w:val="18"/>
              </w:rPr>
              <w:t>Overall Average %</w:t>
            </w:r>
          </w:p>
        </w:tc>
        <w:tc>
          <w:tcPr>
            <w:tcW w:type="dxa" w:w="3600"/>
            <w:vAlign w:val="center"/>
            <w:tcMar>
              <w:top w:w="80" w:type="dxa"/>
              <w:start w:w="120" w:type="dxa"/>
              <w:bottom w:w="80" w:type="dxa"/>
              <w:end w:w="120" w:type="dxa"/>
            </w:tcMar>
          </w:tcPr>
          <w:p>
            <w:pPr>
              <w:spacing w:after="0"/>
            </w:pPr>
            <w:r>
              <w:rPr>
                <w:sz w:val="18"/>
              </w:rPr>
              <w:t>Mean of the twelve monthly averages, rounded to 0 decimals.</w:t>
            </w:r>
          </w:p>
        </w:tc>
        <w:tc>
          <w:tcPr>
            <w:tcW w:type="dxa" w:w="3600"/>
            <w:vAlign w:val="center"/>
            <w:tcMar>
              <w:top w:w="80" w:type="dxa"/>
              <w:start w:w="120" w:type="dxa"/>
              <w:bottom w:w="80" w:type="dxa"/>
              <w:end w:w="120" w:type="dxa"/>
            </w:tcMar>
          </w:tcPr>
          <w:p>
            <w:pPr>
              <w:spacing w:after="0"/>
            </w:pPr>
            <w:r>
              <w:rPr>
                <w:sz w:val="18"/>
              </w:rPr>
              <w:t>Overall site QC score across the year.</w:t>
            </w:r>
          </w:p>
        </w:tc>
      </w:tr>
    </w:tbl>
    <w:p/>
    <w:p>
      <w:pPr>
        <w:spacing w:after="60"/>
      </w:pPr>
      <w:r>
        <w:rPr>
          <w:rFonts w:ascii="Consolas" w:hAnsi="Consolas" w:eastAsia="Consolas"/>
          <w:color w:val="1F4E79"/>
          <w:sz w:val="18"/>
        </w:rPr>
        <w:t>df_out["Average %"] = df_out.mean(axis=1).round(0)</w:t>
      </w:r>
    </w:p>
    <w:p>
      <w:pPr>
        <w:spacing w:after="60"/>
      </w:pPr>
      <w:r>
        <w:rPr>
          <w:rFonts w:ascii="Consolas" w:hAnsi="Consolas" w:eastAsia="Consolas"/>
          <w:color w:val="1F4E79"/>
          <w:sz w:val="18"/>
        </w:rPr>
        <w:t>avg_row = df_out[ordered_months].mean(axis=0).round(0)</w:t>
      </w:r>
    </w:p>
    <w:p>
      <w:pPr>
        <w:spacing w:after="60"/>
      </w:pPr>
      <w:r>
        <w:rPr>
          <w:rFonts w:ascii="Consolas" w:hAnsi="Consolas" w:eastAsia="Consolas"/>
          <w:color w:val="1F4E79"/>
          <w:sz w:val="18"/>
        </w:rPr>
        <w:t>overall_avg = avg_row.mean().round(0)</w:t>
      </w:r>
    </w:p>
    <w:p>
      <w:pPr>
        <w:pStyle w:val="Heading1"/>
      </w:pPr>
      <w:r>
        <w:t>QC Target (PSE) Sheet</w:t>
      </w:r>
    </w:p>
    <w:p>
      <w:pPr>
        <w:pStyle w:val="BodyText"/>
      </w:pPr>
      <w:r>
        <w:t>The second sheet is a focused matrix using only three organisms: pae, sau, and eco. The same monthly score values are copied from the full matrix, but averages are recomputed using only those three rows.</w:t>
      </w:r>
    </w:p>
    <w:p>
      <w:pPr>
        <w:spacing w:after="60"/>
      </w:pPr>
      <w:r>
        <w:rPr>
          <w:rFonts w:ascii="Consolas" w:hAnsi="Consolas" w:eastAsia="Consolas"/>
          <w:color w:val="1F4E79"/>
          <w:sz w:val="18"/>
        </w:rPr>
        <w:t>target_rows = ["pae", "sau", "eco"]</w:t>
      </w:r>
    </w:p>
    <w:tbl>
      <w:tblPr>
        <w:tblStyle w:val="TableGrid"/>
        <w:tblW w:type="dxa" w:w="9360"/>
        <w:tblLook w:firstColumn="1" w:firstRow="1" w:lastColumn="0" w:lastRow="0" w:noHBand="0" w:noVBand="1" w:val="04A0"/>
        <w:tblInd w:w="120" w:type="dxa"/>
        <w:tblLayout w:type="fixed"/>
      </w:tblPr>
      <w:tblGrid>
        <w:gridCol w:w="2160"/>
        <w:gridCol w:w="3960"/>
        <w:gridCol w:w="3240"/>
      </w:tblGrid>
      <w:tr>
        <w:tc>
          <w:tcPr>
            <w:tcW w:type="dxa" w:w="2160"/>
            <w:shd w:fill="E8EEF5"/>
            <w:vAlign w:val="center"/>
            <w:tcMar>
              <w:top w:w="80" w:type="dxa"/>
              <w:start w:w="120" w:type="dxa"/>
              <w:bottom w:w="80" w:type="dxa"/>
              <w:end w:w="120" w:type="dxa"/>
            </w:tcMar>
          </w:tcPr>
          <w:p>
            <w:pPr>
              <w:spacing w:after="0"/>
            </w:pPr>
            <w:r>
              <w:rPr>
                <w:b/>
                <w:sz w:val="19"/>
              </w:rPr>
              <w:t>Sheet</w:t>
            </w:r>
          </w:p>
        </w:tc>
        <w:tc>
          <w:tcPr>
            <w:tcW w:type="dxa" w:w="3960"/>
            <w:shd w:fill="E8EEF5"/>
            <w:vAlign w:val="center"/>
            <w:tcMar>
              <w:top w:w="80" w:type="dxa"/>
              <w:start w:w="120" w:type="dxa"/>
              <w:bottom w:w="80" w:type="dxa"/>
              <w:end w:w="120" w:type="dxa"/>
            </w:tcMar>
          </w:tcPr>
          <w:p>
            <w:pPr>
              <w:spacing w:after="0"/>
            </w:pPr>
            <w:r>
              <w:rPr>
                <w:b/>
                <w:sz w:val="19"/>
              </w:rPr>
              <w:t>Rows included</w:t>
            </w:r>
          </w:p>
        </w:tc>
        <w:tc>
          <w:tcPr>
            <w:tcW w:type="dxa" w:w="3240"/>
            <w:shd w:fill="E8EEF5"/>
            <w:vAlign w:val="center"/>
            <w:tcMar>
              <w:top w:w="80" w:type="dxa"/>
              <w:start w:w="120" w:type="dxa"/>
              <w:bottom w:w="80" w:type="dxa"/>
              <w:end w:w="120" w:type="dxa"/>
            </w:tcMar>
          </w:tcPr>
          <w:p>
            <w:pPr>
              <w:spacing w:after="0"/>
            </w:pPr>
            <w:r>
              <w:rPr>
                <w:b/>
                <w:sz w:val="19"/>
              </w:rPr>
              <w:t>Average basis</w:t>
            </w:r>
          </w:p>
        </w:tc>
      </w:tr>
      <w:tr>
        <w:tc>
          <w:tcPr>
            <w:tcW w:type="dxa" w:w="2160"/>
            <w:vAlign w:val="center"/>
            <w:tcMar>
              <w:top w:w="80" w:type="dxa"/>
              <w:start w:w="120" w:type="dxa"/>
              <w:bottom w:w="80" w:type="dxa"/>
              <w:end w:w="120" w:type="dxa"/>
            </w:tcMar>
          </w:tcPr>
          <w:p>
            <w:pPr>
              <w:spacing w:after="0"/>
            </w:pPr>
            <w:r>
              <w:rPr>
                <w:sz w:val="18"/>
              </w:rPr>
              <w:t>QC Matrix</w:t>
            </w:r>
          </w:p>
        </w:tc>
        <w:tc>
          <w:tcPr>
            <w:tcW w:type="dxa" w:w="3960"/>
            <w:vAlign w:val="center"/>
            <w:tcMar>
              <w:top w:w="80" w:type="dxa"/>
              <w:start w:w="120" w:type="dxa"/>
              <w:bottom w:w="80" w:type="dxa"/>
              <w:end w:w="120" w:type="dxa"/>
            </w:tcMar>
          </w:tcPr>
          <w:p>
            <w:pPr>
              <w:spacing w:after="0"/>
            </w:pPr>
            <w:r>
              <w:rPr>
                <w:sz w:val="18"/>
              </w:rPr>
              <w:t>aba, pae, sau, eco, kpn, spn, hin, plus Monthly Avg</w:t>
            </w:r>
          </w:p>
        </w:tc>
        <w:tc>
          <w:tcPr>
            <w:tcW w:type="dxa" w:w="3240"/>
            <w:vAlign w:val="center"/>
            <w:tcMar>
              <w:top w:w="80" w:type="dxa"/>
              <w:start w:w="120" w:type="dxa"/>
              <w:bottom w:w="80" w:type="dxa"/>
              <w:end w:w="120" w:type="dxa"/>
            </w:tcMar>
          </w:tcPr>
          <w:p>
            <w:pPr>
              <w:spacing w:after="0"/>
            </w:pPr>
            <w:r>
              <w:rPr>
                <w:sz w:val="18"/>
              </w:rPr>
              <w:t>All seven target organisms.</w:t>
            </w:r>
          </w:p>
        </w:tc>
      </w:tr>
      <w:tr>
        <w:tc>
          <w:tcPr>
            <w:tcW w:type="dxa" w:w="2160"/>
            <w:vAlign w:val="center"/>
            <w:tcMar>
              <w:top w:w="80" w:type="dxa"/>
              <w:start w:w="120" w:type="dxa"/>
              <w:bottom w:w="80" w:type="dxa"/>
              <w:end w:w="120" w:type="dxa"/>
            </w:tcMar>
          </w:tcPr>
          <w:p>
            <w:pPr>
              <w:spacing w:after="0"/>
            </w:pPr>
            <w:r>
              <w:rPr>
                <w:sz w:val="18"/>
              </w:rPr>
              <w:t>QC Target (PSE)</w:t>
            </w:r>
          </w:p>
        </w:tc>
        <w:tc>
          <w:tcPr>
            <w:tcW w:type="dxa" w:w="3960"/>
            <w:vAlign w:val="center"/>
            <w:tcMar>
              <w:top w:w="80" w:type="dxa"/>
              <w:start w:w="120" w:type="dxa"/>
              <w:bottom w:w="80" w:type="dxa"/>
              <w:end w:w="120" w:type="dxa"/>
            </w:tcMar>
          </w:tcPr>
          <w:p>
            <w:pPr>
              <w:spacing w:after="0"/>
            </w:pPr>
            <w:r>
              <w:rPr>
                <w:sz w:val="18"/>
              </w:rPr>
              <w:t>pae, sau, eco, plus Monthly Avg</w:t>
            </w:r>
          </w:p>
        </w:tc>
        <w:tc>
          <w:tcPr>
            <w:tcW w:type="dxa" w:w="3240"/>
            <w:vAlign w:val="center"/>
            <w:tcMar>
              <w:top w:w="80" w:type="dxa"/>
              <w:start w:w="120" w:type="dxa"/>
              <w:bottom w:w="80" w:type="dxa"/>
              <w:end w:w="120" w:type="dxa"/>
            </w:tcMar>
          </w:tcPr>
          <w:p>
            <w:pPr>
              <w:spacing w:after="0"/>
            </w:pPr>
            <w:r>
              <w:rPr>
                <w:sz w:val="18"/>
              </w:rPr>
              <w:t>Only the three PSE target organisms.</w:t>
            </w:r>
          </w:p>
        </w:tc>
      </w:tr>
    </w:tbl>
    <w:p/>
    <w:p>
      <w:pPr>
        <w:pStyle w:val="Heading1"/>
      </w:pPr>
      <w:r>
        <w:t>Worked Example</w:t>
      </w:r>
    </w:p>
    <w:p>
      <w:pPr>
        <w:pStyle w:val="BodyText"/>
      </w:pPr>
      <w:r>
        <w:t>Suppose the January QC records for one site contain two pae rows, one sau row, and no eco rows. The January scores are pae = 100, sau = 50, and eco = 0. If the other target organisms also score 0, the January monthly average in the full QC Matrix is the average of all seven organism scores.</w:t>
      </w:r>
    </w:p>
    <w:p>
      <w:pPr>
        <w:pStyle w:val="BodyText"/>
      </w:pPr>
      <w:r>
        <w:t>For the QC Target (PSE) sheet, the January monthly average would be based only on pae, sau, and eco: (100 + 50 + 0) / 3 = 50.</w:t>
      </w:r>
    </w:p>
    <w:p>
      <w:pPr>
        <w:pStyle w:val="Heading1"/>
      </w:pPr>
      <w:r>
        <w:t>Output Workbook Structure</w:t>
      </w:r>
    </w:p>
    <w:tbl>
      <w:tblPr>
        <w:tblStyle w:val="TableGrid"/>
        <w:tblW w:type="dxa" w:w="9360"/>
        <w:tblLook w:firstColumn="1" w:firstRow="1" w:lastColumn="0" w:lastRow="0" w:noHBand="0" w:noVBand="1" w:val="04A0"/>
        <w:tblInd w:w="120" w:type="dxa"/>
        <w:tblLayout w:type="fixed"/>
      </w:tblPr>
      <w:tblGrid>
        <w:gridCol w:w="2520"/>
        <w:gridCol w:w="6840"/>
      </w:tblGrid>
      <w:tr>
        <w:tc>
          <w:tcPr>
            <w:tcW w:type="dxa" w:w="2520"/>
            <w:shd w:fill="E8EEF5"/>
            <w:vAlign w:val="center"/>
            <w:tcMar>
              <w:top w:w="80" w:type="dxa"/>
              <w:start w:w="120" w:type="dxa"/>
              <w:bottom w:w="80" w:type="dxa"/>
              <w:end w:w="120" w:type="dxa"/>
            </w:tcMar>
          </w:tcPr>
          <w:p>
            <w:pPr>
              <w:spacing w:after="0"/>
            </w:pPr>
            <w:r>
              <w:rPr>
                <w:b/>
                <w:sz w:val="19"/>
              </w:rPr>
              <w:t>Output component</w:t>
            </w:r>
          </w:p>
        </w:tc>
        <w:tc>
          <w:tcPr>
            <w:tcW w:type="dxa" w:w="6840"/>
            <w:shd w:fill="E8EEF5"/>
            <w:vAlign w:val="center"/>
            <w:tcMar>
              <w:top w:w="80" w:type="dxa"/>
              <w:start w:w="120" w:type="dxa"/>
              <w:bottom w:w="80" w:type="dxa"/>
              <w:end w:w="120" w:type="dxa"/>
            </w:tcMar>
          </w:tcPr>
          <w:p>
            <w:pPr>
              <w:spacing w:after="0"/>
            </w:pPr>
            <w:r>
              <w:rPr>
                <w:b/>
                <w:sz w:val="19"/>
              </w:rPr>
              <w:t>Contents</w:t>
            </w:r>
          </w:p>
        </w:tc>
      </w:tr>
      <w:tr>
        <w:tc>
          <w:tcPr>
            <w:tcW w:type="dxa" w:w="2520"/>
            <w:vAlign w:val="center"/>
            <w:tcMar>
              <w:top w:w="80" w:type="dxa"/>
              <w:start w:w="120" w:type="dxa"/>
              <w:bottom w:w="80" w:type="dxa"/>
              <w:end w:w="120" w:type="dxa"/>
            </w:tcMar>
          </w:tcPr>
          <w:p>
            <w:pPr>
              <w:spacing w:after="0"/>
            </w:pPr>
            <w:r>
              <w:rPr>
                <w:sz w:val="18"/>
              </w:rPr>
              <w:t>File name</w:t>
            </w:r>
          </w:p>
        </w:tc>
        <w:tc>
          <w:tcPr>
            <w:tcW w:type="dxa" w:w="6840"/>
            <w:vAlign w:val="center"/>
            <w:tcMar>
              <w:top w:w="80" w:type="dxa"/>
              <w:start w:w="120" w:type="dxa"/>
              <w:bottom w:w="80" w:type="dxa"/>
              <w:end w:w="120" w:type="dxa"/>
            </w:tcMar>
          </w:tcPr>
          <w:p>
            <w:pPr>
              <w:spacing w:after="0"/>
            </w:pPr>
            <w:r>
              <w:rPr>
                <w:sz w:val="18"/>
              </w:rPr>
              <w:t>qc_matrix_&lt;site&gt;.xlsx, with the site code lowercased.</w:t>
            </w:r>
          </w:p>
        </w:tc>
      </w:tr>
      <w:tr>
        <w:tc>
          <w:tcPr>
            <w:tcW w:type="dxa" w:w="2520"/>
            <w:vAlign w:val="center"/>
            <w:tcMar>
              <w:top w:w="80" w:type="dxa"/>
              <w:start w:w="120" w:type="dxa"/>
              <w:bottom w:w="80" w:type="dxa"/>
              <w:end w:w="120" w:type="dxa"/>
            </w:tcMar>
          </w:tcPr>
          <w:p>
            <w:pPr>
              <w:spacing w:after="0"/>
            </w:pPr>
            <w:r>
              <w:rPr>
                <w:sz w:val="18"/>
              </w:rPr>
              <w:t>QC Matrix sheet</w:t>
            </w:r>
          </w:p>
        </w:tc>
        <w:tc>
          <w:tcPr>
            <w:tcW w:type="dxa" w:w="6840"/>
            <w:vAlign w:val="center"/>
            <w:tcMar>
              <w:top w:w="80" w:type="dxa"/>
              <w:start w:w="120" w:type="dxa"/>
              <w:bottom w:w="80" w:type="dxa"/>
              <w:end w:w="120" w:type="dxa"/>
            </w:tcMar>
          </w:tcPr>
          <w:p>
            <w:pPr>
              <w:spacing w:after="0"/>
            </w:pPr>
            <w:r>
              <w:rPr>
                <w:sz w:val="18"/>
              </w:rPr>
              <w:t>Full organism-by-month score matrix for all seven target organisms.</w:t>
            </w:r>
          </w:p>
        </w:tc>
      </w:tr>
      <w:tr>
        <w:tc>
          <w:tcPr>
            <w:tcW w:type="dxa" w:w="2520"/>
            <w:vAlign w:val="center"/>
            <w:tcMar>
              <w:top w:w="80" w:type="dxa"/>
              <w:start w:w="120" w:type="dxa"/>
              <w:bottom w:w="80" w:type="dxa"/>
              <w:end w:w="120" w:type="dxa"/>
            </w:tcMar>
          </w:tcPr>
          <w:p>
            <w:pPr>
              <w:spacing w:after="0"/>
            </w:pPr>
            <w:r>
              <w:rPr>
                <w:sz w:val="18"/>
              </w:rPr>
              <w:t>QC Target (PSE) sheet</w:t>
            </w:r>
          </w:p>
        </w:tc>
        <w:tc>
          <w:tcPr>
            <w:tcW w:type="dxa" w:w="6840"/>
            <w:vAlign w:val="center"/>
            <w:tcMar>
              <w:top w:w="80" w:type="dxa"/>
              <w:start w:w="120" w:type="dxa"/>
              <w:bottom w:w="80" w:type="dxa"/>
              <w:end w:w="120" w:type="dxa"/>
            </w:tcMar>
          </w:tcPr>
          <w:p>
            <w:pPr>
              <w:spacing w:after="0"/>
            </w:pPr>
            <w:r>
              <w:rPr>
                <w:sz w:val="18"/>
              </w:rPr>
              <w:t>Focused organism-by-month score matrix for pae, sau, and eco.</w:t>
            </w:r>
          </w:p>
        </w:tc>
      </w:tr>
      <w:tr>
        <w:tc>
          <w:tcPr>
            <w:tcW w:type="dxa" w:w="2520"/>
            <w:vAlign w:val="center"/>
            <w:tcMar>
              <w:top w:w="80" w:type="dxa"/>
              <w:start w:w="120" w:type="dxa"/>
              <w:bottom w:w="80" w:type="dxa"/>
              <w:end w:w="120" w:type="dxa"/>
            </w:tcMar>
          </w:tcPr>
          <w:p>
            <w:pPr>
              <w:spacing w:after="0"/>
            </w:pPr>
            <w:r>
              <w:rPr>
                <w:sz w:val="18"/>
              </w:rPr>
              <w:t>Average % column</w:t>
            </w:r>
          </w:p>
        </w:tc>
        <w:tc>
          <w:tcPr>
            <w:tcW w:type="dxa" w:w="6840"/>
            <w:vAlign w:val="center"/>
            <w:tcMar>
              <w:top w:w="80" w:type="dxa"/>
              <w:start w:w="120" w:type="dxa"/>
              <w:bottom w:w="80" w:type="dxa"/>
              <w:end w:w="120" w:type="dxa"/>
            </w:tcMar>
          </w:tcPr>
          <w:p>
            <w:pPr>
              <w:spacing w:after="0"/>
            </w:pPr>
            <w:r>
              <w:rPr>
                <w:sz w:val="18"/>
              </w:rPr>
              <w:t>Rounded year-level average per organism and overall average in the Monthly Avg row.</w:t>
            </w:r>
          </w:p>
        </w:tc>
      </w:tr>
      <w:tr>
        <w:tc>
          <w:tcPr>
            <w:tcW w:type="dxa" w:w="2520"/>
            <w:vAlign w:val="center"/>
            <w:tcMar>
              <w:top w:w="80" w:type="dxa"/>
              <w:start w:w="120" w:type="dxa"/>
              <w:bottom w:w="80" w:type="dxa"/>
              <w:end w:w="120" w:type="dxa"/>
            </w:tcMar>
          </w:tcPr>
          <w:p>
            <w:pPr>
              <w:spacing w:after="0"/>
            </w:pPr>
            <w:r>
              <w:rPr>
                <w:sz w:val="18"/>
              </w:rPr>
              <w:t>Monthly Avg row</w:t>
            </w:r>
          </w:p>
        </w:tc>
        <w:tc>
          <w:tcPr>
            <w:tcW w:type="dxa" w:w="6840"/>
            <w:vAlign w:val="center"/>
            <w:tcMar>
              <w:top w:w="80" w:type="dxa"/>
              <w:start w:w="120" w:type="dxa"/>
              <w:bottom w:w="80" w:type="dxa"/>
              <w:end w:w="120" w:type="dxa"/>
            </w:tcMar>
          </w:tcPr>
          <w:p>
            <w:pPr>
              <w:spacing w:after="0"/>
            </w:pPr>
            <w:r>
              <w:rPr>
                <w:sz w:val="18"/>
              </w:rPr>
              <w:t>Rounded monthly average across the organisms included in that sheet.</w:t>
            </w:r>
          </w:p>
        </w:tc>
      </w:tr>
    </w:tbl>
    <w:p/>
    <w:p>
      <w:pPr>
        <w:pStyle w:val="Heading1"/>
      </w:pPr>
      <w:r>
        <w:t>Important Notes and Watch Points</w:t>
      </w:r>
    </w:p>
    <w:p>
      <w:pPr>
        <w:pStyle w:val="ListBullet"/>
      </w:pPr>
      <w:r>
        <w:t>The script processes every .xlsx file in the selected folder, so prior output workbooks can be picked up in later runs if left in the same folder.</w:t>
      </w:r>
    </w:p>
    <w:p>
      <w:pPr>
        <w:pStyle w:val="ListBullet"/>
      </w:pPr>
      <w:r>
        <w:t>Month extraction assumes the month code is stored at filename[1:3]. Files with another naming convention may not map correctly to Jan-Dec.</w:t>
      </w:r>
    </w:p>
    <w:p>
      <w:pPr>
        <w:pStyle w:val="ListBullet"/>
      </w:pPr>
      <w:r>
        <w:t>SPEC_TYPE matching is case-insensitive but does not strip whitespace, so values like ' qc ' may not match.</w:t>
      </w:r>
    </w:p>
    <w:p>
      <w:pPr>
        <w:pStyle w:val="ListBullet"/>
      </w:pPr>
      <w:r>
        <w:t>ORGANISM matching is also case-insensitive but does not strip whitespace, so organism codes with extra spaces may not be counted.</w:t>
      </w:r>
    </w:p>
    <w:p>
      <w:pPr>
        <w:pStyle w:val="ListBullet"/>
      </w:pPr>
      <w:r>
        <w:t>Missing months are filled with 0 before averages are calculated, so an absent file or absent month lowers annual averages.</w:t>
      </w:r>
    </w:p>
    <w:p>
      <w:pPr>
        <w:pStyle w:val="ListBullet"/>
      </w:pPr>
      <w:r>
        <w:t>The process can run repeatedly for additional folders until the user answers anything other than 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