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conso_qc_matrix.py</w:t>
      </w:r>
    </w:p>
    <w:p>
      <w:pPr>
        <w:spacing w:after="240"/>
      </w:pPr>
      <w:r>
        <w:rPr>
          <w:color w:val="555555"/>
          <w:sz w:val="18"/>
        </w:rPr>
        <w:t>Source folder: D:\PROGRAMMING\TESTINGS\Tools_backup\annual_perf_eval\annual_performance_reports\4_2_consolidate_qc_matrix</w:t>
      </w:r>
    </w:p>
    <w:p>
      <w:pPr>
        <w:pStyle w:val="Heading1"/>
      </w:pPr>
      <w:r>
        <w:t>Purpose and Context</w:t>
      </w:r>
    </w:p>
    <w:p>
      <w:pPr>
        <w:pStyle w:val="BodyText"/>
      </w:pPr>
      <w:r>
        <w:t>The script consolidates site-level QC matrix reports into a single QC summary workbook. It is intended to run after the QC matrix generation script has created one qc_matrix_&lt;site&gt;.xlsx workbook per site.</w:t>
      </w:r>
    </w:p>
    <w:p>
      <w:pPr>
        <w:pStyle w:val="BodyText"/>
      </w:pPr>
      <w:r>
        <w:t>Rather than recalculating organism scores from raw monthly data, this script extracts the already-computed Monthly Avg row from the QC Target (PSE) sheet of each site workbook. The final output shows one row per site with monthly QC target averages and an annual average.</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the folder containing qc_matrix files.</w:t>
            </w:r>
          </w:p>
        </w:tc>
      </w:tr>
      <w:tr>
        <w:tc>
          <w:tcPr>
            <w:tcW w:type="dxa" w:w="2160"/>
            <w:vAlign w:val="center"/>
            <w:tcMar>
              <w:top w:w="80" w:type="dxa"/>
              <w:start w:w="120" w:type="dxa"/>
              <w:bottom w:w="80" w:type="dxa"/>
              <w:end w:w="120" w:type="dxa"/>
            </w:tcMar>
          </w:tcPr>
          <w:p>
            <w:pPr>
              <w:spacing w:after="0"/>
            </w:pPr>
            <w:r>
              <w:rPr>
                <w:sz w:val="18"/>
              </w:rPr>
              <w:t>Input files</w:t>
            </w:r>
          </w:p>
        </w:tc>
        <w:tc>
          <w:tcPr>
            <w:tcW w:type="dxa" w:w="7200"/>
            <w:vAlign w:val="center"/>
            <w:tcMar>
              <w:top w:w="80" w:type="dxa"/>
              <w:start w:w="120" w:type="dxa"/>
              <w:bottom w:w="80" w:type="dxa"/>
              <w:end w:w="120" w:type="dxa"/>
            </w:tcMar>
          </w:tcPr>
          <w:p>
            <w:pPr>
              <w:spacing w:after="0"/>
            </w:pPr>
            <w:r>
              <w:rPr>
                <w:sz w:val="18"/>
              </w:rPr>
              <w:t>Only files starting with qc_matrix_ and ending with .xlsx are processed.</w:t>
            </w:r>
          </w:p>
        </w:tc>
      </w:tr>
      <w:tr>
        <w:tc>
          <w:tcPr>
            <w:tcW w:type="dxa" w:w="2160"/>
            <w:vAlign w:val="center"/>
            <w:tcMar>
              <w:top w:w="80" w:type="dxa"/>
              <w:start w:w="120" w:type="dxa"/>
              <w:bottom w:w="80" w:type="dxa"/>
              <w:end w:w="120" w:type="dxa"/>
            </w:tcMar>
          </w:tcPr>
          <w:p>
            <w:pPr>
              <w:spacing w:after="0"/>
            </w:pPr>
            <w:r>
              <w:rPr>
                <w:sz w:val="18"/>
              </w:rPr>
              <w:t>Source sheet</w:t>
            </w:r>
          </w:p>
        </w:tc>
        <w:tc>
          <w:tcPr>
            <w:tcW w:type="dxa" w:w="7200"/>
            <w:vAlign w:val="center"/>
            <w:tcMar>
              <w:top w:w="80" w:type="dxa"/>
              <w:start w:w="120" w:type="dxa"/>
              <w:bottom w:w="80" w:type="dxa"/>
              <w:end w:w="120" w:type="dxa"/>
            </w:tcMar>
          </w:tcPr>
          <w:p>
            <w:pPr>
              <w:spacing w:after="0"/>
            </w:pPr>
            <w:r>
              <w:rPr>
                <w:sz w:val="18"/>
              </w:rPr>
              <w:t>The script reads the QC Target (PSE) sheet from each input workbook.</w:t>
            </w:r>
          </w:p>
        </w:tc>
      </w:tr>
      <w:tr>
        <w:tc>
          <w:tcPr>
            <w:tcW w:type="dxa" w:w="2160"/>
            <w:vAlign w:val="center"/>
            <w:tcMar>
              <w:top w:w="80" w:type="dxa"/>
              <w:start w:w="120" w:type="dxa"/>
              <w:bottom w:w="80" w:type="dxa"/>
              <w:end w:w="120" w:type="dxa"/>
            </w:tcMar>
          </w:tcPr>
          <w:p>
            <w:pPr>
              <w:spacing w:after="0"/>
            </w:pPr>
            <w:r>
              <w:rPr>
                <w:sz w:val="18"/>
              </w:rPr>
              <w:t>Source row</w:t>
            </w:r>
          </w:p>
        </w:tc>
        <w:tc>
          <w:tcPr>
            <w:tcW w:type="dxa" w:w="7200"/>
            <w:vAlign w:val="center"/>
            <w:tcMar>
              <w:top w:w="80" w:type="dxa"/>
              <w:start w:w="120" w:type="dxa"/>
              <w:bottom w:w="80" w:type="dxa"/>
              <w:end w:w="120" w:type="dxa"/>
            </w:tcMar>
          </w:tcPr>
          <w:p>
            <w:pPr>
              <w:spacing w:after="0"/>
            </w:pPr>
            <w:r>
              <w:rPr>
                <w:sz w:val="18"/>
              </w:rPr>
              <w:t>Only the Monthly Avg row is extracted from each source sheet.</w:t>
            </w:r>
          </w:p>
        </w:tc>
      </w:tr>
      <w:tr>
        <w:tc>
          <w:tcPr>
            <w:tcW w:type="dxa" w:w="2160"/>
            <w:vAlign w:val="center"/>
            <w:tcMar>
              <w:top w:w="80" w:type="dxa"/>
              <w:start w:w="120" w:type="dxa"/>
              <w:bottom w:w="80" w:type="dxa"/>
              <w:end w:w="120" w:type="dxa"/>
            </w:tcMar>
          </w:tcPr>
          <w:p>
            <w:pPr>
              <w:spacing w:after="0"/>
            </w:pPr>
            <w:r>
              <w:rPr>
                <w:sz w:val="18"/>
              </w:rPr>
              <w:t>Output workbook</w:t>
            </w:r>
          </w:p>
        </w:tc>
        <w:tc>
          <w:tcPr>
            <w:tcW w:type="dxa" w:w="7200"/>
            <w:vAlign w:val="center"/>
            <w:tcMar>
              <w:top w:w="80" w:type="dxa"/>
              <w:start w:w="120" w:type="dxa"/>
              <w:bottom w:w="80" w:type="dxa"/>
              <w:end w:w="120" w:type="dxa"/>
            </w:tcMar>
          </w:tcPr>
          <w:p>
            <w:pPr>
              <w:spacing w:after="0"/>
            </w:pPr>
            <w:r>
              <w:rPr>
                <w:sz w:val="18"/>
              </w:rPr>
              <w:t>Saved in the selected folder as qc_consolidated_report.xlsx.</w:t>
            </w:r>
          </w:p>
        </w:tc>
      </w:tr>
    </w:tbl>
    <w:p/>
    <w:p>
      <w:pPr>
        <w:pStyle w:val="Heading1"/>
      </w:pPr>
      <w:r>
        <w:t>Processing Flow</w:t>
      </w:r>
    </w:p>
    <w:p>
      <w:pPr>
        <w:pStyle w:val="ListBullet"/>
      </w:pPr>
      <w:r>
        <w:t>Open a folder picker and capture the folder containing site QC matrix files.</w:t>
      </w:r>
    </w:p>
    <w:p>
      <w:pPr>
        <w:pStyle w:val="ListBullet"/>
      </w:pPr>
      <w:r>
        <w:t>List all files named qc_matrix_*.xlsx.</w:t>
      </w:r>
    </w:p>
    <w:p>
      <w:pPr>
        <w:pStyle w:val="ListBullet"/>
      </w:pPr>
      <w:r>
        <w:t>For each file, derive the site code from the filename.</w:t>
      </w:r>
    </w:p>
    <w:p>
      <w:pPr>
        <w:pStyle w:val="ListBullet"/>
      </w:pPr>
      <w:r>
        <w:t>Read the QC Target (PSE) sheet using the first column as the row index.</w:t>
      </w:r>
    </w:p>
    <w:p>
      <w:pPr>
        <w:pStyle w:val="ListBullet"/>
      </w:pPr>
      <w:r>
        <w:t>Check whether the Monthly Avg row exists.</w:t>
      </w:r>
    </w:p>
    <w:p>
      <w:pPr>
        <w:pStyle w:val="ListBullet"/>
      </w:pPr>
      <w:r>
        <w:t>Extract Jan through Dec values from the Monthly Avg row.</w:t>
      </w:r>
    </w:p>
    <w:p>
      <w:pPr>
        <w:pStyle w:val="ListBullet"/>
      </w:pPr>
      <w:r>
        <w:t>Extract the Average % value from the same row.</w:t>
      </w:r>
    </w:p>
    <w:p>
      <w:pPr>
        <w:pStyle w:val="ListBullet"/>
      </w:pPr>
      <w:r>
        <w:t>Format each extracted value as a whole-number percentage string.</w:t>
      </w:r>
    </w:p>
    <w:p>
      <w:pPr>
        <w:pStyle w:val="ListBullet"/>
      </w:pPr>
      <w:r>
        <w:t>Append the site record to the consolidated list.</w:t>
      </w:r>
    </w:p>
    <w:p>
      <w:pPr>
        <w:pStyle w:val="ListBullet"/>
      </w:pPr>
      <w:r>
        <w:t>Convert the consolidated list to a DataFrame, sort by Site, and save to Excel.</w:t>
      </w:r>
    </w:p>
    <w:p>
      <w:pPr>
        <w:pStyle w:val="Heading1"/>
      </w:pPr>
      <w:r>
        <w:t>Input File Detection</w:t>
      </w:r>
    </w:p>
    <w:p>
      <w:pPr>
        <w:pStyle w:val="BodyText"/>
      </w:pPr>
      <w:r>
        <w:t>The script includes only files that follow the naming convention created by the QC matrix generator.</w:t>
      </w:r>
    </w:p>
    <w:p>
      <w:pPr>
        <w:spacing w:after="60"/>
      </w:pPr>
      <w:r>
        <w:rPr>
          <w:rFonts w:ascii="Consolas" w:hAnsi="Consolas" w:eastAsia="Consolas"/>
          <w:color w:val="1F4E79"/>
          <w:sz w:val="18"/>
        </w:rPr>
        <w:t>files = [f for f in os.listdir(folder_path) if f.startswith("qc_matrix_") and f.endswith(".xlsx")]</w:t>
      </w:r>
    </w:p>
    <w:p>
      <w:pPr>
        <w:pStyle w:val="BodyText"/>
      </w:pPr>
      <w:r>
        <w:t>If no matching files are found, the script prints a message and exits without creating a consolidated report.</w:t>
      </w:r>
    </w:p>
    <w:p>
      <w:pPr>
        <w:pStyle w:val="Heading1"/>
      </w:pPr>
      <w:r>
        <w:t>Site Code Extraction</w:t>
      </w:r>
    </w:p>
    <w:p>
      <w:pPr>
        <w:pStyle w:val="BodyText"/>
      </w:pPr>
      <w:r>
        <w:t>The site code is calculated from the filename by removing the qc_matrix_ prefix and the .xlsx extension, then converting the remaining text to uppercase.</w:t>
      </w:r>
    </w:p>
    <w:p>
      <w:pPr>
        <w:spacing w:after="60"/>
      </w:pPr>
      <w:r>
        <w:rPr>
          <w:rFonts w:ascii="Consolas" w:hAnsi="Consolas" w:eastAsia="Consolas"/>
          <w:color w:val="1F4E79"/>
          <w:sz w:val="18"/>
        </w:rPr>
        <w:t>site = file.replace("qc_matrix_", "").replace(".xlsx", "").upper()</w:t>
      </w:r>
    </w:p>
    <w:tbl>
      <w:tblPr>
        <w:tblStyle w:val="TableGrid"/>
        <w:tblW w:type="dxa" w:w="9360"/>
        <w:tblLook w:firstColumn="1" w:firstRow="1" w:lastColumn="0" w:lastRow="0" w:noHBand="0" w:noVBand="1" w:val="04A0"/>
        <w:tblInd w:w="120" w:type="dxa"/>
        <w:tblLayout w:type="fixed"/>
      </w:tblPr>
      <w:tblGrid>
        <w:gridCol w:w="4320"/>
        <w:gridCol w:w="5040"/>
      </w:tblGrid>
      <w:tr>
        <w:tc>
          <w:tcPr>
            <w:tcW w:type="dxa" w:w="4320"/>
            <w:shd w:fill="E8EEF5"/>
            <w:vAlign w:val="center"/>
            <w:tcMar>
              <w:top w:w="80" w:type="dxa"/>
              <w:start w:w="120" w:type="dxa"/>
              <w:bottom w:w="80" w:type="dxa"/>
              <w:end w:w="120" w:type="dxa"/>
            </w:tcMar>
          </w:tcPr>
          <w:p>
            <w:pPr>
              <w:spacing w:after="0"/>
            </w:pPr>
            <w:r>
              <w:rPr>
                <w:b/>
                <w:sz w:val="19"/>
              </w:rPr>
              <w:t>Input filename</w:t>
            </w:r>
          </w:p>
        </w:tc>
        <w:tc>
          <w:tcPr>
            <w:tcW w:type="dxa" w:w="5040"/>
            <w:shd w:fill="E8EEF5"/>
            <w:vAlign w:val="center"/>
            <w:tcMar>
              <w:top w:w="80" w:type="dxa"/>
              <w:start w:w="120" w:type="dxa"/>
              <w:bottom w:w="80" w:type="dxa"/>
              <w:end w:w="120" w:type="dxa"/>
            </w:tcMar>
          </w:tcPr>
          <w:p>
            <w:pPr>
              <w:spacing w:after="0"/>
            </w:pPr>
            <w:r>
              <w:rPr>
                <w:b/>
                <w:sz w:val="19"/>
              </w:rPr>
              <w:t>Derived site</w:t>
            </w:r>
          </w:p>
        </w:tc>
      </w:tr>
      <w:tr>
        <w:tc>
          <w:tcPr>
            <w:tcW w:type="dxa" w:w="4320"/>
            <w:vAlign w:val="center"/>
            <w:tcMar>
              <w:top w:w="80" w:type="dxa"/>
              <w:start w:w="120" w:type="dxa"/>
              <w:bottom w:w="80" w:type="dxa"/>
              <w:end w:w="120" w:type="dxa"/>
            </w:tcMar>
          </w:tcPr>
          <w:p>
            <w:pPr>
              <w:spacing w:after="0"/>
            </w:pPr>
            <w:r>
              <w:rPr>
                <w:sz w:val="18"/>
              </w:rPr>
              <w:t>qc_matrix_abc.xlsx</w:t>
            </w:r>
          </w:p>
        </w:tc>
        <w:tc>
          <w:tcPr>
            <w:tcW w:type="dxa" w:w="5040"/>
            <w:vAlign w:val="center"/>
            <w:tcMar>
              <w:top w:w="80" w:type="dxa"/>
              <w:start w:w="120" w:type="dxa"/>
              <w:bottom w:w="80" w:type="dxa"/>
              <w:end w:w="120" w:type="dxa"/>
            </w:tcMar>
          </w:tcPr>
          <w:p>
            <w:pPr>
              <w:spacing w:after="0"/>
            </w:pPr>
            <w:r>
              <w:rPr>
                <w:sz w:val="18"/>
              </w:rPr>
              <w:t>ABC</w:t>
            </w:r>
          </w:p>
        </w:tc>
      </w:tr>
      <w:tr>
        <w:tc>
          <w:tcPr>
            <w:tcW w:type="dxa" w:w="4320"/>
            <w:vAlign w:val="center"/>
            <w:tcMar>
              <w:top w:w="80" w:type="dxa"/>
              <w:start w:w="120" w:type="dxa"/>
              <w:bottom w:w="80" w:type="dxa"/>
              <w:end w:w="120" w:type="dxa"/>
            </w:tcMar>
          </w:tcPr>
          <w:p>
            <w:pPr>
              <w:spacing w:after="0"/>
            </w:pPr>
            <w:r>
              <w:rPr>
                <w:sz w:val="18"/>
              </w:rPr>
              <w:t>qc_matrix_phl01.xlsx</w:t>
            </w:r>
          </w:p>
        </w:tc>
        <w:tc>
          <w:tcPr>
            <w:tcW w:type="dxa" w:w="5040"/>
            <w:vAlign w:val="center"/>
            <w:tcMar>
              <w:top w:w="80" w:type="dxa"/>
              <w:start w:w="120" w:type="dxa"/>
              <w:bottom w:w="80" w:type="dxa"/>
              <w:end w:w="120" w:type="dxa"/>
            </w:tcMar>
          </w:tcPr>
          <w:p>
            <w:pPr>
              <w:spacing w:after="0"/>
            </w:pPr>
            <w:r>
              <w:rPr>
                <w:sz w:val="18"/>
              </w:rPr>
              <w:t>PHL01</w:t>
            </w:r>
          </w:p>
        </w:tc>
      </w:tr>
      <w:tr>
        <w:tc>
          <w:tcPr>
            <w:tcW w:type="dxa" w:w="4320"/>
            <w:vAlign w:val="center"/>
            <w:tcMar>
              <w:top w:w="80" w:type="dxa"/>
              <w:start w:w="120" w:type="dxa"/>
              <w:bottom w:w="80" w:type="dxa"/>
              <w:end w:w="120" w:type="dxa"/>
            </w:tcMar>
          </w:tcPr>
          <w:p>
            <w:pPr>
              <w:spacing w:after="0"/>
            </w:pPr>
            <w:r>
              <w:rPr>
                <w:sz w:val="18"/>
              </w:rPr>
              <w:t>qc_matrix_unknown.xlsx</w:t>
            </w:r>
          </w:p>
        </w:tc>
        <w:tc>
          <w:tcPr>
            <w:tcW w:type="dxa" w:w="5040"/>
            <w:vAlign w:val="center"/>
            <w:tcMar>
              <w:top w:w="80" w:type="dxa"/>
              <w:start w:w="120" w:type="dxa"/>
              <w:bottom w:w="80" w:type="dxa"/>
              <w:end w:w="120" w:type="dxa"/>
            </w:tcMar>
          </w:tcPr>
          <w:p>
            <w:pPr>
              <w:spacing w:after="0"/>
            </w:pPr>
            <w:r>
              <w:rPr>
                <w:sz w:val="18"/>
              </w:rPr>
              <w:t>UNKNOWN</w:t>
            </w:r>
          </w:p>
        </w:tc>
      </w:tr>
    </w:tbl>
    <w:p/>
    <w:p>
      <w:pPr>
        <w:pStyle w:val="Heading1"/>
      </w:pPr>
      <w:r>
        <w:t>Source Sheet and Row</w:t>
      </w:r>
    </w:p>
    <w:p>
      <w:pPr>
        <w:pStyle w:val="BodyText"/>
      </w:pPr>
      <w:r>
        <w:t>Each site workbook is read from the QC Target (PSE) sheet. The first column is treated as the DataFrame index, so the row label Monthly Avg must be present in that index.</w:t>
      </w:r>
    </w:p>
    <w:p>
      <w:pPr>
        <w:spacing w:after="60"/>
      </w:pPr>
      <w:r>
        <w:rPr>
          <w:rFonts w:ascii="Consolas" w:hAnsi="Consolas" w:eastAsia="Consolas"/>
          <w:color w:val="1F4E79"/>
          <w:sz w:val="18"/>
        </w:rPr>
        <w:t>df = pd.read_excel(file_path, sheet_name="QC Target (PSE)", index_col=0)</w:t>
      </w:r>
    </w:p>
    <w:p>
      <w:pPr>
        <w:pStyle w:val="BodyText"/>
      </w:pPr>
      <w:r>
        <w:t>If Monthly Avg is missing, that file is skipped. This matters because the script consolidates the precomputed PSE monthly averages rather than recomputing them from organism rows.</w:t>
      </w:r>
    </w:p>
    <w:p>
      <w:pPr>
        <w:pStyle w:val="Heading1"/>
      </w:pPr>
      <w:r>
        <w:t>Monthly Value Extraction</w:t>
      </w:r>
    </w:p>
    <w:p>
      <w:pPr>
        <w:pStyle w:val="BodyText"/>
      </w:pPr>
      <w:r>
        <w:t>The script uses a fixed Jan-to-Dec month order. For each month, it retrieves the value from the Monthly Avg row. If a month column is missing, the script uses 0 as the fallback value.</w:t>
      </w:r>
    </w:p>
    <w:p>
      <w:pPr>
        <w:spacing w:after="60"/>
      </w:pPr>
      <w:r>
        <w:rPr>
          <w:rFonts w:ascii="Consolas" w:hAnsi="Consolas" w:eastAsia="Consolas"/>
          <w:color w:val="1F4E79"/>
          <w:sz w:val="18"/>
        </w:rPr>
        <w:t>val = row.get(m, 0)</w:t>
      </w:r>
    </w:p>
    <w:p>
      <w:pPr>
        <w:spacing w:after="60"/>
      </w:pPr>
      <w:r>
        <w:rPr>
          <w:rFonts w:ascii="Consolas" w:hAnsi="Consolas" w:eastAsia="Consolas"/>
          <w:color w:val="1F4E79"/>
          <w:sz w:val="18"/>
        </w:rPr>
        <w:t>record[m] = f"{int(val)}%"</w:t>
      </w:r>
    </w:p>
    <w:p>
      <w:pPr>
        <w:pStyle w:val="BodyText"/>
      </w:pPr>
      <w:r>
        <w:t>The int() conversion removes decimals before the percent sign is added. For example, a source value of 87.5 becomes 87%, not 88%.</w:t>
      </w:r>
    </w:p>
    <w:p>
      <w:pPr>
        <w:pStyle w:val="Heading1"/>
      </w:pPr>
      <w:r>
        <w:t>Average Value Extraction</w:t>
      </w:r>
    </w:p>
    <w:p>
      <w:pPr>
        <w:pStyle w:val="BodyText"/>
      </w:pPr>
      <w:r>
        <w:t>The annual average is taken directly from the Average % column in the same Monthly Avg row. If Average % is missing, the fallback value is 0.</w:t>
      </w:r>
    </w:p>
    <w:p>
      <w:pPr>
        <w:spacing w:after="60"/>
      </w:pPr>
      <w:r>
        <w:rPr>
          <w:rFonts w:ascii="Consolas" w:hAnsi="Consolas" w:eastAsia="Consolas"/>
          <w:color w:val="1F4E79"/>
          <w:sz w:val="18"/>
        </w:rPr>
        <w:t>record["Average"] = f"{int(row.get("Average %", 0))}%"</w:t>
      </w:r>
    </w:p>
    <w:p>
      <w:pPr>
        <w:pStyle w:val="BodyText"/>
      </w:pPr>
      <w:r>
        <w:t>Because this value is extracted from the source QC matrix workbook, the consolidation script depends on the earlier script's average calculation. It does not recompute the annual average from the monthly values.</w:t>
      </w:r>
    </w:p>
    <w:p>
      <w:pPr>
        <w:pStyle w:val="Heading1"/>
      </w:pPr>
      <w:r>
        <w:t>Final Table Construction</w:t>
      </w:r>
    </w:p>
    <w:p>
      <w:pPr>
        <w:pStyle w:val="BodyText"/>
      </w:pPr>
      <w:r>
        <w:t>Each processed file contributes one record to the consolidated list. That list is converted to a DataFrame, then sorted alphabetically by the Site column before writing.</w:t>
      </w:r>
    </w:p>
    <w:p>
      <w:pPr>
        <w:spacing w:after="60"/>
      </w:pPr>
      <w:r>
        <w:rPr>
          <w:rFonts w:ascii="Consolas" w:hAnsi="Consolas" w:eastAsia="Consolas"/>
          <w:color w:val="1F4E79"/>
          <w:sz w:val="18"/>
        </w:rPr>
        <w:t>final_df = pd.DataFrame(consolidated)</w:t>
      </w:r>
    </w:p>
    <w:p>
      <w:pPr>
        <w:spacing w:after="60"/>
      </w:pPr>
      <w:r>
        <w:rPr>
          <w:rFonts w:ascii="Consolas" w:hAnsi="Consolas" w:eastAsia="Consolas"/>
          <w:color w:val="1F4E79"/>
          <w:sz w:val="18"/>
        </w:rPr>
        <w:t>final_df = final_df.sort_values("Site")</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Output column</w:t>
            </w:r>
          </w:p>
        </w:tc>
        <w:tc>
          <w:tcPr>
            <w:tcW w:type="dxa" w:w="7200"/>
            <w:shd w:fill="E8EEF5"/>
            <w:vAlign w:val="center"/>
            <w:tcMar>
              <w:top w:w="80" w:type="dxa"/>
              <w:start w:w="120" w:type="dxa"/>
              <w:bottom w:w="80" w:type="dxa"/>
              <w:end w:w="120" w:type="dxa"/>
            </w:tcMar>
          </w:tcPr>
          <w:p>
            <w:pPr>
              <w:spacing w:after="0"/>
            </w:pPr>
            <w:r>
              <w:rPr>
                <w:b/>
                <w:sz w:val="19"/>
              </w:rPr>
              <w:t>Contents</w:t>
            </w:r>
          </w:p>
        </w:tc>
      </w:tr>
      <w:tr>
        <w:tc>
          <w:tcPr>
            <w:tcW w:type="dxa" w:w="2160"/>
            <w:vAlign w:val="center"/>
            <w:tcMar>
              <w:top w:w="80" w:type="dxa"/>
              <w:start w:w="120" w:type="dxa"/>
              <w:bottom w:w="80" w:type="dxa"/>
              <w:end w:w="120" w:type="dxa"/>
            </w:tcMar>
          </w:tcPr>
          <w:p>
            <w:pPr>
              <w:spacing w:after="0"/>
            </w:pPr>
            <w:r>
              <w:rPr>
                <w:sz w:val="18"/>
              </w:rPr>
              <w:t>Site</w:t>
            </w:r>
          </w:p>
        </w:tc>
        <w:tc>
          <w:tcPr>
            <w:tcW w:type="dxa" w:w="7200"/>
            <w:vAlign w:val="center"/>
            <w:tcMar>
              <w:top w:w="80" w:type="dxa"/>
              <w:start w:w="120" w:type="dxa"/>
              <w:bottom w:w="80" w:type="dxa"/>
              <w:end w:w="120" w:type="dxa"/>
            </w:tcMar>
          </w:tcPr>
          <w:p>
            <w:pPr>
              <w:spacing w:after="0"/>
            </w:pPr>
            <w:r>
              <w:rPr>
                <w:sz w:val="18"/>
              </w:rPr>
              <w:t>Site code derived from the qc_matrix filename.</w:t>
            </w:r>
          </w:p>
        </w:tc>
      </w:tr>
      <w:tr>
        <w:tc>
          <w:tcPr>
            <w:tcW w:type="dxa" w:w="2160"/>
            <w:vAlign w:val="center"/>
            <w:tcMar>
              <w:top w:w="80" w:type="dxa"/>
              <w:start w:w="120" w:type="dxa"/>
              <w:bottom w:w="80" w:type="dxa"/>
              <w:end w:w="120" w:type="dxa"/>
            </w:tcMar>
          </w:tcPr>
          <w:p>
            <w:pPr>
              <w:spacing w:after="0"/>
            </w:pPr>
            <w:r>
              <w:rPr>
                <w:sz w:val="18"/>
              </w:rPr>
              <w:t>Jan-Dec</w:t>
            </w:r>
          </w:p>
        </w:tc>
        <w:tc>
          <w:tcPr>
            <w:tcW w:type="dxa" w:w="7200"/>
            <w:vAlign w:val="center"/>
            <w:tcMar>
              <w:top w:w="80" w:type="dxa"/>
              <w:start w:w="120" w:type="dxa"/>
              <w:bottom w:w="80" w:type="dxa"/>
              <w:end w:w="120" w:type="dxa"/>
            </w:tcMar>
          </w:tcPr>
          <w:p>
            <w:pPr>
              <w:spacing w:after="0"/>
            </w:pPr>
            <w:r>
              <w:rPr>
                <w:sz w:val="18"/>
              </w:rPr>
              <w:t>Monthly Avg values from the QC Target (PSE) sheet, formatted as whole-number percentages.</w:t>
            </w:r>
          </w:p>
        </w:tc>
      </w:tr>
      <w:tr>
        <w:tc>
          <w:tcPr>
            <w:tcW w:type="dxa" w:w="2160"/>
            <w:vAlign w:val="center"/>
            <w:tcMar>
              <w:top w:w="80" w:type="dxa"/>
              <w:start w:w="120" w:type="dxa"/>
              <w:bottom w:w="80" w:type="dxa"/>
              <w:end w:w="120" w:type="dxa"/>
            </w:tcMar>
          </w:tcPr>
          <w:p>
            <w:pPr>
              <w:spacing w:after="0"/>
            </w:pPr>
            <w:r>
              <w:rPr>
                <w:sz w:val="18"/>
              </w:rPr>
              <w:t>Average</w:t>
            </w:r>
          </w:p>
        </w:tc>
        <w:tc>
          <w:tcPr>
            <w:tcW w:type="dxa" w:w="7200"/>
            <w:vAlign w:val="center"/>
            <w:tcMar>
              <w:top w:w="80" w:type="dxa"/>
              <w:start w:w="120" w:type="dxa"/>
              <w:bottom w:w="80" w:type="dxa"/>
              <w:end w:w="120" w:type="dxa"/>
            </w:tcMar>
          </w:tcPr>
          <w:p>
            <w:pPr>
              <w:spacing w:after="0"/>
            </w:pPr>
            <w:r>
              <w:rPr>
                <w:sz w:val="18"/>
              </w:rPr>
              <w:t>Average % value from the Monthly Avg row, formatted as a whole-number percentage.</w:t>
            </w:r>
          </w:p>
        </w:tc>
      </w:tr>
    </w:tbl>
    <w:p/>
    <w:p>
      <w:pPr>
        <w:pStyle w:val="Heading1"/>
      </w:pPr>
      <w:r>
        <w:t>Output Workbook Structure</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Output component</w:t>
            </w:r>
          </w:p>
        </w:tc>
        <w:tc>
          <w:tcPr>
            <w:tcW w:type="dxa" w:w="6840"/>
            <w:shd w:fill="E8EEF5"/>
            <w:vAlign w:val="center"/>
            <w:tcMar>
              <w:top w:w="80" w:type="dxa"/>
              <w:start w:w="120" w:type="dxa"/>
              <w:bottom w:w="80" w:type="dxa"/>
              <w:end w:w="120" w:type="dxa"/>
            </w:tcMar>
          </w:tcPr>
          <w:p>
            <w:pPr>
              <w:spacing w:after="0"/>
            </w:pPr>
            <w:r>
              <w:rPr>
                <w:b/>
                <w:sz w:val="19"/>
              </w:rPr>
              <w:t>Contents</w:t>
            </w:r>
          </w:p>
        </w:tc>
      </w:tr>
      <w:tr>
        <w:tc>
          <w:tcPr>
            <w:tcW w:type="dxa" w:w="2520"/>
            <w:vAlign w:val="center"/>
            <w:tcMar>
              <w:top w:w="80" w:type="dxa"/>
              <w:start w:w="120" w:type="dxa"/>
              <w:bottom w:w="80" w:type="dxa"/>
              <w:end w:w="120" w:type="dxa"/>
            </w:tcMar>
          </w:tcPr>
          <w:p>
            <w:pPr>
              <w:spacing w:after="0"/>
            </w:pPr>
            <w:r>
              <w:rPr>
                <w:sz w:val="18"/>
              </w:rPr>
              <w:t>File name</w:t>
            </w:r>
          </w:p>
        </w:tc>
        <w:tc>
          <w:tcPr>
            <w:tcW w:type="dxa" w:w="6840"/>
            <w:vAlign w:val="center"/>
            <w:tcMar>
              <w:top w:w="80" w:type="dxa"/>
              <w:start w:w="120" w:type="dxa"/>
              <w:bottom w:w="80" w:type="dxa"/>
              <w:end w:w="120" w:type="dxa"/>
            </w:tcMar>
          </w:tcPr>
          <w:p>
            <w:pPr>
              <w:spacing w:after="0"/>
            </w:pPr>
            <w:r>
              <w:rPr>
                <w:sz w:val="18"/>
              </w:rPr>
              <w:t>qc_consolidated_report.xlsx</w:t>
            </w:r>
          </w:p>
        </w:tc>
      </w:tr>
      <w:tr>
        <w:tc>
          <w:tcPr>
            <w:tcW w:type="dxa" w:w="2520"/>
            <w:vAlign w:val="center"/>
            <w:tcMar>
              <w:top w:w="80" w:type="dxa"/>
              <w:start w:w="120" w:type="dxa"/>
              <w:bottom w:w="80" w:type="dxa"/>
              <w:end w:w="120" w:type="dxa"/>
            </w:tcMar>
          </w:tcPr>
          <w:p>
            <w:pPr>
              <w:spacing w:after="0"/>
            </w:pPr>
            <w:r>
              <w:rPr>
                <w:sz w:val="18"/>
              </w:rPr>
              <w:t>Sheet name</w:t>
            </w:r>
          </w:p>
        </w:tc>
        <w:tc>
          <w:tcPr>
            <w:tcW w:type="dxa" w:w="6840"/>
            <w:vAlign w:val="center"/>
            <w:tcMar>
              <w:top w:w="80" w:type="dxa"/>
              <w:start w:w="120" w:type="dxa"/>
              <w:bottom w:w="80" w:type="dxa"/>
              <w:end w:w="120" w:type="dxa"/>
            </w:tcMar>
          </w:tcPr>
          <w:p>
            <w:pPr>
              <w:spacing w:after="0"/>
            </w:pPr>
            <w:r>
              <w:rPr>
                <w:sz w:val="18"/>
              </w:rPr>
              <w:t>QC Summary</w:t>
            </w:r>
          </w:p>
        </w:tc>
      </w:tr>
      <w:tr>
        <w:tc>
          <w:tcPr>
            <w:tcW w:type="dxa" w:w="2520"/>
            <w:vAlign w:val="center"/>
            <w:tcMar>
              <w:top w:w="80" w:type="dxa"/>
              <w:start w:w="120" w:type="dxa"/>
              <w:bottom w:w="80" w:type="dxa"/>
              <w:end w:w="120" w:type="dxa"/>
            </w:tcMar>
          </w:tcPr>
          <w:p>
            <w:pPr>
              <w:spacing w:after="0"/>
            </w:pPr>
            <w:r>
              <w:rPr>
                <w:sz w:val="18"/>
              </w:rPr>
              <w:t>Rows</w:t>
            </w:r>
          </w:p>
        </w:tc>
        <w:tc>
          <w:tcPr>
            <w:tcW w:type="dxa" w:w="6840"/>
            <w:vAlign w:val="center"/>
            <w:tcMar>
              <w:top w:w="80" w:type="dxa"/>
              <w:start w:w="120" w:type="dxa"/>
              <w:bottom w:w="80" w:type="dxa"/>
              <w:end w:w="120" w:type="dxa"/>
            </w:tcMar>
          </w:tcPr>
          <w:p>
            <w:pPr>
              <w:spacing w:after="0"/>
            </w:pPr>
            <w:r>
              <w:rPr>
                <w:sz w:val="18"/>
              </w:rPr>
              <w:t>One row per processed site workbook.</w:t>
            </w:r>
          </w:p>
        </w:tc>
      </w:tr>
      <w:tr>
        <w:tc>
          <w:tcPr>
            <w:tcW w:type="dxa" w:w="2520"/>
            <w:vAlign w:val="center"/>
            <w:tcMar>
              <w:top w:w="80" w:type="dxa"/>
              <w:start w:w="120" w:type="dxa"/>
              <w:bottom w:w="80" w:type="dxa"/>
              <w:end w:w="120" w:type="dxa"/>
            </w:tcMar>
          </w:tcPr>
          <w:p>
            <w:pPr>
              <w:spacing w:after="0"/>
            </w:pPr>
            <w:r>
              <w:rPr>
                <w:sz w:val="18"/>
              </w:rPr>
              <w:t>Columns</w:t>
            </w:r>
          </w:p>
        </w:tc>
        <w:tc>
          <w:tcPr>
            <w:tcW w:type="dxa" w:w="6840"/>
            <w:vAlign w:val="center"/>
            <w:tcMar>
              <w:top w:w="80" w:type="dxa"/>
              <w:start w:w="120" w:type="dxa"/>
              <w:bottom w:w="80" w:type="dxa"/>
              <w:end w:w="120" w:type="dxa"/>
            </w:tcMar>
          </w:tcPr>
          <w:p>
            <w:pPr>
              <w:spacing w:after="0"/>
            </w:pPr>
            <w:r>
              <w:rPr>
                <w:sz w:val="18"/>
              </w:rPr>
              <w:t>Site, Jan through Dec, and Average.</w:t>
            </w:r>
          </w:p>
        </w:tc>
      </w:tr>
    </w:tbl>
    <w:p/>
    <w:p>
      <w:pPr>
        <w:pStyle w:val="Heading1"/>
      </w:pPr>
      <w:r>
        <w:t>Worked Example</w:t>
      </w:r>
    </w:p>
    <w:p>
      <w:pPr>
        <w:pStyle w:val="BodyText"/>
      </w:pPr>
      <w:r>
        <w:t>Suppose qc_matrix_aaa.xlsx has a QC Target (PSE) Monthly Avg row with Jan = 50, Feb = 100, and Average % = 75. The consolidated output row for AAA will show Jan = 50%, Feb = 100%, and Average = 75%.</w:t>
      </w:r>
    </w:p>
    <w:p>
      <w:pPr>
        <w:pStyle w:val="BodyText"/>
      </w:pPr>
      <w:r>
        <w:t>If Mar is missing from the source sheet, the script records Mar as 0% because row.get('Mar', 0) returns the fallback value.</w:t>
      </w:r>
    </w:p>
    <w:p>
      <w:pPr>
        <w:pStyle w:val="Heading1"/>
      </w:pPr>
      <w:r>
        <w:t>Important Notes and Watch Points</w:t>
      </w:r>
    </w:p>
    <w:p>
      <w:pPr>
        <w:pStyle w:val="ListBullet"/>
      </w:pPr>
      <w:r>
        <w:t>The script consolidates the QC Target (PSE) sheet only; it does not use the full QC Matrix sheet.</w:t>
      </w:r>
    </w:p>
    <w:p>
      <w:pPr>
        <w:pStyle w:val="ListBullet"/>
      </w:pPr>
      <w:r>
        <w:t>The Monthly Avg row must exist in each source workbook or that file is skipped.</w:t>
      </w:r>
    </w:p>
    <w:p>
      <w:pPr>
        <w:pStyle w:val="ListBullet"/>
      </w:pPr>
      <w:r>
        <w:t>Missing month columns are treated as 0%, which can make missing data look like poor performance rather than unavailable data.</w:t>
      </w:r>
    </w:p>
    <w:p>
      <w:pPr>
        <w:pStyle w:val="ListBullet"/>
      </w:pPr>
      <w:r>
        <w:t>Values are converted with int(), so decimal values are truncated rather than rounded.</w:t>
      </w:r>
    </w:p>
    <w:p>
      <w:pPr>
        <w:pStyle w:val="ListBullet"/>
      </w:pPr>
      <w:r>
        <w:t>The Average column is copied from Average % in the source workbook and is not recalculated by this script.</w:t>
      </w:r>
    </w:p>
    <w:p>
      <w:pPr>
        <w:pStyle w:val="ListBullet"/>
      </w:pPr>
      <w:r>
        <w:t>The output file is always named qc_consolidated_report.xlsx and can overwrite an existing file with that name.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