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eastAsia="Calibri"/>
          <w:b/>
          <w:color w:val="0B2545"/>
          <w:sz w:val="40"/>
        </w:rPr>
        <w:t>Context and Detailed Computation Guide for ontat_submission.py</w:t>
      </w:r>
    </w:p>
    <w:p>
      <w:pPr>
        <w:spacing w:after="240"/>
      </w:pPr>
      <w:r>
        <w:rPr>
          <w:color w:val="555555"/>
          <w:sz w:val="18"/>
        </w:rPr>
        <w:t>Source folder: D:\PROGRAMMING\TESTINGS\Tools_backup\annual_perf_eval\annual_performance_reports\3_on_time_submission</w:t>
      </w:r>
    </w:p>
    <w:p>
      <w:pPr>
        <w:pStyle w:val="Heading1"/>
      </w:pPr>
      <w:r>
        <w:t>Purpose and Context</w:t>
      </w:r>
    </w:p>
    <w:p>
      <w:pPr>
        <w:pStyle w:val="BodyText"/>
      </w:pPr>
      <w:r>
        <w:t>The script generates an on-time submission report from a selected Excel file. It is designed for annual performance evaluation workflows where each site is checked month by month to determine whether its submission date met the expected deadline.</w:t>
      </w:r>
    </w:p>
    <w:p>
      <w:pPr>
        <w:pStyle w:val="BodyText"/>
      </w:pPr>
      <w:r>
        <w:t>Each row in the input file represents a site. The first column contains site codes or site names, while the remaining columns represent monthly submission dates. The script converts each valid submission date into an on-time flag, then summarizes each site with a count, average, and percentage.</w:t>
      </w:r>
    </w:p>
    <w:p>
      <w:pPr>
        <w:pStyle w:val="Heading1"/>
      </w:pPr>
      <w:r>
        <w:t>Input and Output</w:t>
      </w:r>
    </w:p>
    <w:tbl>
      <w:tblPr>
        <w:tblStyle w:val="TableGrid"/>
        <w:tblW w:type="dxa" w:w="9360"/>
        <w:tblLook w:firstColumn="1" w:firstRow="1" w:lastColumn="0" w:lastRow="0" w:noHBand="0" w:noVBand="1" w:val="04A0"/>
        <w:tblInd w:w="120" w:type="dxa"/>
        <w:tblLayout w:type="fixed"/>
      </w:tblPr>
      <w:tblGrid>
        <w:gridCol w:w="2160"/>
        <w:gridCol w:w="7200"/>
      </w:tblGrid>
      <w:tr>
        <w:tc>
          <w:tcPr>
            <w:tcW w:type="dxa" w:w="2160"/>
            <w:shd w:fill="E8EEF5"/>
            <w:vAlign w:val="center"/>
            <w:tcMar>
              <w:top w:w="80" w:type="dxa"/>
              <w:start w:w="120" w:type="dxa"/>
              <w:bottom w:w="80" w:type="dxa"/>
              <w:end w:w="120" w:type="dxa"/>
            </w:tcMar>
          </w:tcPr>
          <w:p>
            <w:pPr>
              <w:spacing w:after="0"/>
            </w:pPr>
            <w:r>
              <w:rPr>
                <w:b/>
                <w:sz w:val="19"/>
              </w:rPr>
              <w:t>Item</w:t>
            </w:r>
          </w:p>
        </w:tc>
        <w:tc>
          <w:tcPr>
            <w:tcW w:type="dxa" w:w="7200"/>
            <w:shd w:fill="E8EEF5"/>
            <w:vAlign w:val="center"/>
            <w:tcMar>
              <w:top w:w="80" w:type="dxa"/>
              <w:start w:w="120" w:type="dxa"/>
              <w:bottom w:w="80" w:type="dxa"/>
              <w:end w:w="120" w:type="dxa"/>
            </w:tcMar>
          </w:tcPr>
          <w:p>
            <w:pPr>
              <w:spacing w:after="0"/>
            </w:pPr>
            <w:r>
              <w:rPr>
                <w:b/>
                <w:sz w:val="19"/>
              </w:rPr>
              <w:t>How the script uses it</w:t>
            </w:r>
          </w:p>
        </w:tc>
      </w:tr>
      <w:tr>
        <w:tc>
          <w:tcPr>
            <w:tcW w:type="dxa" w:w="2160"/>
            <w:vAlign w:val="center"/>
            <w:tcMar>
              <w:top w:w="80" w:type="dxa"/>
              <w:start w:w="120" w:type="dxa"/>
              <w:bottom w:w="80" w:type="dxa"/>
              <w:end w:w="120" w:type="dxa"/>
            </w:tcMar>
          </w:tcPr>
          <w:p>
            <w:pPr>
              <w:spacing w:after="0"/>
            </w:pPr>
            <w:r>
              <w:rPr>
                <w:sz w:val="18"/>
              </w:rPr>
              <w:t>Selected Excel file</w:t>
            </w:r>
          </w:p>
        </w:tc>
        <w:tc>
          <w:tcPr>
            <w:tcW w:type="dxa" w:w="7200"/>
            <w:vAlign w:val="center"/>
            <w:tcMar>
              <w:top w:w="80" w:type="dxa"/>
              <w:start w:w="120" w:type="dxa"/>
              <w:bottom w:w="80" w:type="dxa"/>
              <w:end w:w="120" w:type="dxa"/>
            </w:tcMar>
          </w:tcPr>
          <w:p>
            <w:pPr>
              <w:spacing w:after="0"/>
            </w:pPr>
            <w:r>
              <w:rPr>
                <w:sz w:val="18"/>
              </w:rPr>
              <w:t>The user chooses one Excel workbook through a Tkinter file picker.</w:t>
            </w:r>
          </w:p>
        </w:tc>
      </w:tr>
      <w:tr>
        <w:tc>
          <w:tcPr>
            <w:tcW w:type="dxa" w:w="2160"/>
            <w:vAlign w:val="center"/>
            <w:tcMar>
              <w:top w:w="80" w:type="dxa"/>
              <w:start w:w="120" w:type="dxa"/>
              <w:bottom w:w="80" w:type="dxa"/>
              <w:end w:w="120" w:type="dxa"/>
            </w:tcMar>
          </w:tcPr>
          <w:p>
            <w:pPr>
              <w:spacing w:after="0"/>
            </w:pPr>
            <w:r>
              <w:rPr>
                <w:sz w:val="18"/>
              </w:rPr>
              <w:t>First column</w:t>
            </w:r>
          </w:p>
        </w:tc>
        <w:tc>
          <w:tcPr>
            <w:tcW w:type="dxa" w:w="7200"/>
            <w:vAlign w:val="center"/>
            <w:tcMar>
              <w:top w:w="80" w:type="dxa"/>
              <w:start w:w="120" w:type="dxa"/>
              <w:bottom w:w="80" w:type="dxa"/>
              <w:end w:w="120" w:type="dxa"/>
            </w:tcMar>
          </w:tcPr>
          <w:p>
            <w:pPr>
              <w:spacing w:after="0"/>
            </w:pPr>
            <w:r>
              <w:rPr>
                <w:sz w:val="18"/>
              </w:rPr>
              <w:t>Used as the site identifier column, regardless of its actual column name.</w:t>
            </w:r>
          </w:p>
        </w:tc>
      </w:tr>
      <w:tr>
        <w:tc>
          <w:tcPr>
            <w:tcW w:type="dxa" w:w="2160"/>
            <w:vAlign w:val="center"/>
            <w:tcMar>
              <w:top w:w="80" w:type="dxa"/>
              <w:start w:w="120" w:type="dxa"/>
              <w:bottom w:w="80" w:type="dxa"/>
              <w:end w:w="120" w:type="dxa"/>
            </w:tcMar>
          </w:tcPr>
          <w:p>
            <w:pPr>
              <w:spacing w:after="0"/>
            </w:pPr>
            <w:r>
              <w:rPr>
                <w:sz w:val="18"/>
              </w:rPr>
              <w:t>Month columns</w:t>
            </w:r>
          </w:p>
        </w:tc>
        <w:tc>
          <w:tcPr>
            <w:tcW w:type="dxa" w:w="7200"/>
            <w:vAlign w:val="center"/>
            <w:tcMar>
              <w:top w:w="80" w:type="dxa"/>
              <w:start w:w="120" w:type="dxa"/>
              <w:bottom w:w="80" w:type="dxa"/>
              <w:end w:w="120" w:type="dxa"/>
            </w:tcMar>
          </w:tcPr>
          <w:p>
            <w:pPr>
              <w:spacing w:after="0"/>
            </w:pPr>
            <w:r>
              <w:rPr>
                <w:sz w:val="18"/>
              </w:rPr>
              <w:t>All columns after the first column are treated as monthly submission columns.</w:t>
            </w:r>
          </w:p>
        </w:tc>
      </w:tr>
      <w:tr>
        <w:tc>
          <w:tcPr>
            <w:tcW w:type="dxa" w:w="2160"/>
            <w:vAlign w:val="center"/>
            <w:tcMar>
              <w:top w:w="80" w:type="dxa"/>
              <w:start w:w="120" w:type="dxa"/>
              <w:bottom w:w="80" w:type="dxa"/>
              <w:end w:w="120" w:type="dxa"/>
            </w:tcMar>
          </w:tcPr>
          <w:p>
            <w:pPr>
              <w:spacing w:after="0"/>
            </w:pPr>
            <w:r>
              <w:rPr>
                <w:sz w:val="18"/>
              </w:rPr>
              <w:t>Reporting year</w:t>
            </w:r>
          </w:p>
        </w:tc>
        <w:tc>
          <w:tcPr>
            <w:tcW w:type="dxa" w:w="7200"/>
            <w:vAlign w:val="center"/>
            <w:tcMar>
              <w:top w:w="80" w:type="dxa"/>
              <w:start w:w="120" w:type="dxa"/>
              <w:bottom w:w="80" w:type="dxa"/>
              <w:end w:w="120" w:type="dxa"/>
            </w:tcMar>
          </w:tcPr>
          <w:p>
            <w:pPr>
              <w:spacing w:after="0"/>
            </w:pPr>
            <w:r>
              <w:rPr>
                <w:sz w:val="18"/>
              </w:rPr>
              <w:t>Entered manually in the console and used to compute the monthly deadlines.</w:t>
            </w:r>
          </w:p>
        </w:tc>
      </w:tr>
      <w:tr>
        <w:tc>
          <w:tcPr>
            <w:tcW w:type="dxa" w:w="2160"/>
            <w:vAlign w:val="center"/>
            <w:tcMar>
              <w:top w:w="80" w:type="dxa"/>
              <w:start w:w="120" w:type="dxa"/>
              <w:bottom w:w="80" w:type="dxa"/>
              <w:end w:w="120" w:type="dxa"/>
            </w:tcMar>
          </w:tcPr>
          <w:p>
            <w:pPr>
              <w:spacing w:after="0"/>
            </w:pPr>
            <w:r>
              <w:rPr>
                <w:sz w:val="18"/>
              </w:rPr>
              <w:t>Output workbook</w:t>
            </w:r>
          </w:p>
        </w:tc>
        <w:tc>
          <w:tcPr>
            <w:tcW w:type="dxa" w:w="7200"/>
            <w:vAlign w:val="center"/>
            <w:tcMar>
              <w:top w:w="80" w:type="dxa"/>
              <w:start w:w="120" w:type="dxa"/>
              <w:bottom w:w="80" w:type="dxa"/>
              <w:end w:w="120" w:type="dxa"/>
            </w:tcMar>
          </w:tcPr>
          <w:p>
            <w:pPr>
              <w:spacing w:after="0"/>
            </w:pPr>
            <w:r>
              <w:rPr>
                <w:sz w:val="18"/>
              </w:rPr>
              <w:t>Saved beside the selected input file as on_time_submission_report.xlsx.</w:t>
            </w:r>
          </w:p>
        </w:tc>
      </w:tr>
    </w:tbl>
    <w:p/>
    <w:p>
      <w:pPr>
        <w:pStyle w:val="Heading1"/>
      </w:pPr>
      <w:r>
        <w:t>Processing Flow</w:t>
      </w:r>
    </w:p>
    <w:p>
      <w:pPr>
        <w:pStyle w:val="ListBullet"/>
      </w:pPr>
      <w:r>
        <w:t>Open a file picker and capture the selected on-time submission Excel file.</w:t>
      </w:r>
    </w:p>
    <w:p>
      <w:pPr>
        <w:pStyle w:val="ListBullet"/>
      </w:pPr>
      <w:r>
        <w:t>Load the workbook into a pandas DataFrame.</w:t>
      </w:r>
    </w:p>
    <w:p>
      <w:pPr>
        <w:pStyle w:val="ListBullet"/>
      </w:pPr>
      <w:r>
        <w:t>Treat the first column as the site column and all remaining columns as month columns.</w:t>
      </w:r>
    </w:p>
    <w:p>
      <w:pPr>
        <w:pStyle w:val="ListBullet"/>
      </w:pPr>
      <w:r>
        <w:t>Ask the user to enter a valid reporting year between 1900 and 2100.</w:t>
      </w:r>
    </w:p>
    <w:p>
      <w:pPr>
        <w:pStyle w:val="ListBullet"/>
      </w:pPr>
      <w:r>
        <w:t>Loop through each site row and each month column.</w:t>
      </w:r>
    </w:p>
    <w:p>
      <w:pPr>
        <w:pStyle w:val="ListBullet"/>
      </w:pPr>
      <w:r>
        <w:t>Skip blank cells and invalid date values so they do not affect the summary denominator.</w:t>
      </w:r>
    </w:p>
    <w:p>
      <w:pPr>
        <w:pStyle w:val="ListBullet"/>
      </w:pPr>
      <w:r>
        <w:t>Convert valid submission dates to on-time flags: 1 for on time, 0 for late.</w:t>
      </w:r>
    </w:p>
    <w:p>
      <w:pPr>
        <w:pStyle w:val="ListBullet"/>
      </w:pPr>
      <w:r>
        <w:t>Compute SUM, AVG, and % for each site.</w:t>
      </w:r>
    </w:p>
    <w:p>
      <w:pPr>
        <w:pStyle w:val="ListBullet"/>
      </w:pPr>
      <w:r>
        <w:t>Write the resulting matrix to an Excel workbook.</w:t>
      </w:r>
    </w:p>
    <w:p>
      <w:pPr>
        <w:pStyle w:val="Heading1"/>
      </w:pPr>
      <w:r>
        <w:t>Deadline Computation</w:t>
      </w:r>
    </w:p>
    <w:p>
      <w:pPr>
        <w:pStyle w:val="BodyText"/>
      </w:pPr>
      <w:r>
        <w:t>The deadline for each reporting month is the last day of the following month. For example, the January report is due by the last day of February. The December report is due by the last day of January in the following year.</w:t>
      </w:r>
    </w:p>
    <w:p>
      <w:pPr>
        <w:spacing w:after="60"/>
      </w:pPr>
      <w:r>
        <w:rPr>
          <w:rFonts w:ascii="Consolas" w:hAnsi="Consolas" w:eastAsia="Consolas"/>
          <w:color w:val="1F4E79"/>
          <w:sz w:val="18"/>
        </w:rPr>
        <w:t>deadline = first_day_of_next_month + MonthEnd(0)</w:t>
      </w:r>
    </w:p>
    <w:tbl>
      <w:tblPr>
        <w:tblStyle w:val="TableGrid"/>
        <w:tblW w:type="dxa" w:w="9360"/>
        <w:tblLook w:firstColumn="1" w:firstRow="1" w:lastColumn="0" w:lastRow="0" w:noHBand="0" w:noVBand="1" w:val="04A0"/>
        <w:tblInd w:w="120" w:type="dxa"/>
        <w:tblLayout w:type="fixed"/>
      </w:tblPr>
      <w:tblGrid>
        <w:gridCol w:w="2880"/>
        <w:gridCol w:w="6480"/>
      </w:tblGrid>
      <w:tr>
        <w:tc>
          <w:tcPr>
            <w:tcW w:type="dxa" w:w="2880"/>
            <w:shd w:fill="E8EEF5"/>
            <w:vAlign w:val="center"/>
            <w:tcMar>
              <w:top w:w="80" w:type="dxa"/>
              <w:start w:w="120" w:type="dxa"/>
              <w:bottom w:w="80" w:type="dxa"/>
              <w:end w:w="120" w:type="dxa"/>
            </w:tcMar>
          </w:tcPr>
          <w:p>
            <w:pPr>
              <w:spacing w:after="0"/>
            </w:pPr>
            <w:r>
              <w:rPr>
                <w:b/>
                <w:sz w:val="19"/>
              </w:rPr>
              <w:t>Reporting month</w:t>
            </w:r>
          </w:p>
        </w:tc>
        <w:tc>
          <w:tcPr>
            <w:tcW w:type="dxa" w:w="6480"/>
            <w:shd w:fill="E8EEF5"/>
            <w:vAlign w:val="center"/>
            <w:tcMar>
              <w:top w:w="80" w:type="dxa"/>
              <w:start w:w="120" w:type="dxa"/>
              <w:bottom w:w="80" w:type="dxa"/>
              <w:end w:w="120" w:type="dxa"/>
            </w:tcMar>
          </w:tcPr>
          <w:p>
            <w:pPr>
              <w:spacing w:after="0"/>
            </w:pPr>
            <w:r>
              <w:rPr>
                <w:b/>
                <w:sz w:val="19"/>
              </w:rPr>
              <w:t>Computed deadline</w:t>
            </w:r>
          </w:p>
        </w:tc>
      </w:tr>
      <w:tr>
        <w:tc>
          <w:tcPr>
            <w:tcW w:type="dxa" w:w="2880"/>
            <w:vAlign w:val="center"/>
            <w:tcMar>
              <w:top w:w="80" w:type="dxa"/>
              <w:start w:w="120" w:type="dxa"/>
              <w:bottom w:w="80" w:type="dxa"/>
              <w:end w:w="120" w:type="dxa"/>
            </w:tcMar>
          </w:tcPr>
          <w:p>
            <w:pPr>
              <w:spacing w:after="0"/>
            </w:pPr>
            <w:r>
              <w:rPr>
                <w:sz w:val="18"/>
              </w:rPr>
              <w:t>January 2025</w:t>
            </w:r>
          </w:p>
        </w:tc>
        <w:tc>
          <w:tcPr>
            <w:tcW w:type="dxa" w:w="6480"/>
            <w:vAlign w:val="center"/>
            <w:tcMar>
              <w:top w:w="80" w:type="dxa"/>
              <w:start w:w="120" w:type="dxa"/>
              <w:bottom w:w="80" w:type="dxa"/>
              <w:end w:w="120" w:type="dxa"/>
            </w:tcMar>
          </w:tcPr>
          <w:p>
            <w:pPr>
              <w:spacing w:after="0"/>
            </w:pPr>
            <w:r>
              <w:rPr>
                <w:sz w:val="18"/>
              </w:rPr>
              <w:t>February 28, 2025</w:t>
            </w:r>
          </w:p>
        </w:tc>
      </w:tr>
      <w:tr>
        <w:tc>
          <w:tcPr>
            <w:tcW w:type="dxa" w:w="2880"/>
            <w:vAlign w:val="center"/>
            <w:tcMar>
              <w:top w:w="80" w:type="dxa"/>
              <w:start w:w="120" w:type="dxa"/>
              <w:bottom w:w="80" w:type="dxa"/>
              <w:end w:w="120" w:type="dxa"/>
            </w:tcMar>
          </w:tcPr>
          <w:p>
            <w:pPr>
              <w:spacing w:after="0"/>
            </w:pPr>
            <w:r>
              <w:rPr>
                <w:sz w:val="18"/>
              </w:rPr>
              <w:t>April 2025</w:t>
            </w:r>
          </w:p>
        </w:tc>
        <w:tc>
          <w:tcPr>
            <w:tcW w:type="dxa" w:w="6480"/>
            <w:vAlign w:val="center"/>
            <w:tcMar>
              <w:top w:w="80" w:type="dxa"/>
              <w:start w:w="120" w:type="dxa"/>
              <w:bottom w:w="80" w:type="dxa"/>
              <w:end w:w="120" w:type="dxa"/>
            </w:tcMar>
          </w:tcPr>
          <w:p>
            <w:pPr>
              <w:spacing w:after="0"/>
            </w:pPr>
            <w:r>
              <w:rPr>
                <w:sz w:val="18"/>
              </w:rPr>
              <w:t>May 31, 2025</w:t>
            </w:r>
          </w:p>
        </w:tc>
      </w:tr>
      <w:tr>
        <w:tc>
          <w:tcPr>
            <w:tcW w:type="dxa" w:w="2880"/>
            <w:vAlign w:val="center"/>
            <w:tcMar>
              <w:top w:w="80" w:type="dxa"/>
              <w:start w:w="120" w:type="dxa"/>
              <w:bottom w:w="80" w:type="dxa"/>
              <w:end w:w="120" w:type="dxa"/>
            </w:tcMar>
          </w:tcPr>
          <w:p>
            <w:pPr>
              <w:spacing w:after="0"/>
            </w:pPr>
            <w:r>
              <w:rPr>
                <w:sz w:val="18"/>
              </w:rPr>
              <w:t>December 2025</w:t>
            </w:r>
          </w:p>
        </w:tc>
        <w:tc>
          <w:tcPr>
            <w:tcW w:type="dxa" w:w="6480"/>
            <w:vAlign w:val="center"/>
            <w:tcMar>
              <w:top w:w="80" w:type="dxa"/>
              <w:start w:w="120" w:type="dxa"/>
              <w:bottom w:w="80" w:type="dxa"/>
              <w:end w:w="120" w:type="dxa"/>
            </w:tcMar>
          </w:tcPr>
          <w:p>
            <w:pPr>
              <w:spacing w:after="0"/>
            </w:pPr>
            <w:r>
              <w:rPr>
                <w:sz w:val="18"/>
              </w:rPr>
              <w:t>January 31, 2026</w:t>
            </w:r>
          </w:p>
        </w:tc>
      </w:tr>
    </w:tbl>
    <w:p/>
    <w:p>
      <w:pPr>
        <w:pStyle w:val="Heading1"/>
      </w:pPr>
      <w:r>
        <w:t>Month Mapping</w:t>
      </w:r>
    </w:p>
    <w:p>
      <w:pPr>
        <w:pStyle w:val="BodyText"/>
      </w:pPr>
      <w:r>
        <w:t>The script reads the first three characters of each month column name and maps those abbreviations to month numbers. This allows column headers such as Jan, January, or Jan 2025 to resolve to month 1, as long as the first three characters are a recognized abbreviation.</w:t>
      </w:r>
    </w:p>
    <w:p>
      <w:pPr>
        <w:spacing w:after="60"/>
      </w:pPr>
      <w:r>
        <w:rPr>
          <w:rFonts w:ascii="Consolas" w:hAnsi="Consolas" w:eastAsia="Consolas"/>
          <w:color w:val="1F4E79"/>
          <w:sz w:val="18"/>
        </w:rPr>
        <w:t>month_name = col[:3]</w:t>
      </w:r>
    </w:p>
    <w:p>
      <w:pPr>
        <w:spacing w:after="60"/>
      </w:pPr>
      <w:r>
        <w:rPr>
          <w:rFonts w:ascii="Consolas" w:hAnsi="Consolas" w:eastAsia="Consolas"/>
          <w:color w:val="1F4E79"/>
          <w:sz w:val="18"/>
        </w:rPr>
        <w:t>month_num = month_map.get(month_name)</w:t>
      </w:r>
    </w:p>
    <w:p>
      <w:pPr>
        <w:pStyle w:val="Heading1"/>
      </w:pPr>
      <w:r>
        <w:t>On-Time Flag Computation</w:t>
      </w:r>
    </w:p>
    <w:p>
      <w:pPr>
        <w:pStyle w:val="BodyText"/>
      </w:pPr>
      <w:r>
        <w:t>For every nonblank, valid submission date, the script compares the submission date against the computed deadline. The output value is numeric so it can be summarized easily.</w:t>
      </w:r>
    </w:p>
    <w:tbl>
      <w:tblPr>
        <w:tblStyle w:val="TableGrid"/>
        <w:tblW w:type="dxa" w:w="9360"/>
        <w:tblLook w:firstColumn="1" w:firstRow="1" w:lastColumn="0" w:lastRow="0" w:noHBand="0" w:noVBand="1" w:val="04A0"/>
        <w:tblInd w:w="120" w:type="dxa"/>
        <w:tblLayout w:type="fixed"/>
      </w:tblPr>
      <w:tblGrid>
        <w:gridCol w:w="3960"/>
        <w:gridCol w:w="1800"/>
        <w:gridCol w:w="3600"/>
      </w:tblGrid>
      <w:tr>
        <w:tc>
          <w:tcPr>
            <w:tcW w:type="dxa" w:w="3960"/>
            <w:shd w:fill="E8EEF5"/>
            <w:vAlign w:val="center"/>
            <w:tcMar>
              <w:top w:w="80" w:type="dxa"/>
              <w:start w:w="120" w:type="dxa"/>
              <w:bottom w:w="80" w:type="dxa"/>
              <w:end w:w="120" w:type="dxa"/>
            </w:tcMar>
          </w:tcPr>
          <w:p>
            <w:pPr>
              <w:spacing w:after="0"/>
            </w:pPr>
            <w:r>
              <w:rPr>
                <w:b/>
                <w:sz w:val="19"/>
              </w:rPr>
              <w:t>Condition</w:t>
            </w:r>
          </w:p>
        </w:tc>
        <w:tc>
          <w:tcPr>
            <w:tcW w:type="dxa" w:w="1800"/>
            <w:shd w:fill="E8EEF5"/>
            <w:vAlign w:val="center"/>
            <w:tcMar>
              <w:top w:w="80" w:type="dxa"/>
              <w:start w:w="120" w:type="dxa"/>
              <w:bottom w:w="80" w:type="dxa"/>
              <w:end w:w="120" w:type="dxa"/>
            </w:tcMar>
          </w:tcPr>
          <w:p>
            <w:pPr>
              <w:spacing w:after="0"/>
            </w:pPr>
            <w:r>
              <w:rPr>
                <w:b/>
                <w:sz w:val="19"/>
              </w:rPr>
              <w:t>Output value</w:t>
            </w:r>
          </w:p>
        </w:tc>
        <w:tc>
          <w:tcPr>
            <w:tcW w:type="dxa" w:w="3600"/>
            <w:shd w:fill="E8EEF5"/>
            <w:vAlign w:val="center"/>
            <w:tcMar>
              <w:top w:w="80" w:type="dxa"/>
              <w:start w:w="120" w:type="dxa"/>
              <w:bottom w:w="80" w:type="dxa"/>
              <w:end w:w="120" w:type="dxa"/>
            </w:tcMar>
          </w:tcPr>
          <w:p>
            <w:pPr>
              <w:spacing w:after="0"/>
            </w:pPr>
            <w:r>
              <w:rPr>
                <w:b/>
                <w:sz w:val="19"/>
              </w:rPr>
              <w:t>Meaning</w:t>
            </w:r>
          </w:p>
        </w:tc>
      </w:tr>
      <w:tr>
        <w:tc>
          <w:tcPr>
            <w:tcW w:type="dxa" w:w="3960"/>
            <w:vAlign w:val="center"/>
            <w:tcMar>
              <w:top w:w="80" w:type="dxa"/>
              <w:start w:w="120" w:type="dxa"/>
              <w:bottom w:w="80" w:type="dxa"/>
              <w:end w:w="120" w:type="dxa"/>
            </w:tcMar>
          </w:tcPr>
          <w:p>
            <w:pPr>
              <w:spacing w:after="0"/>
            </w:pPr>
            <w:r>
              <w:rPr>
                <w:sz w:val="18"/>
              </w:rPr>
              <w:t>submission_date &lt;= deadline</w:t>
            </w:r>
          </w:p>
        </w:tc>
        <w:tc>
          <w:tcPr>
            <w:tcW w:type="dxa" w:w="1800"/>
            <w:vAlign w:val="center"/>
            <w:tcMar>
              <w:top w:w="80" w:type="dxa"/>
              <w:start w:w="120" w:type="dxa"/>
              <w:bottom w:w="80" w:type="dxa"/>
              <w:end w:w="120" w:type="dxa"/>
            </w:tcMar>
          </w:tcPr>
          <w:p>
            <w:pPr>
              <w:spacing w:after="0"/>
            </w:pPr>
            <w:r>
              <w:rPr>
                <w:sz w:val="18"/>
              </w:rPr>
              <w:t>1</w:t>
            </w:r>
          </w:p>
        </w:tc>
        <w:tc>
          <w:tcPr>
            <w:tcW w:type="dxa" w:w="3600"/>
            <w:vAlign w:val="center"/>
            <w:tcMar>
              <w:top w:w="80" w:type="dxa"/>
              <w:start w:w="120" w:type="dxa"/>
              <w:bottom w:w="80" w:type="dxa"/>
              <w:end w:w="120" w:type="dxa"/>
            </w:tcMar>
          </w:tcPr>
          <w:p>
            <w:pPr>
              <w:spacing w:after="0"/>
            </w:pPr>
            <w:r>
              <w:rPr>
                <w:sz w:val="18"/>
              </w:rPr>
              <w:t>The submission was on time.</w:t>
            </w:r>
          </w:p>
        </w:tc>
      </w:tr>
      <w:tr>
        <w:tc>
          <w:tcPr>
            <w:tcW w:type="dxa" w:w="3960"/>
            <w:vAlign w:val="center"/>
            <w:tcMar>
              <w:top w:w="80" w:type="dxa"/>
              <w:start w:w="120" w:type="dxa"/>
              <w:bottom w:w="80" w:type="dxa"/>
              <w:end w:w="120" w:type="dxa"/>
            </w:tcMar>
          </w:tcPr>
          <w:p>
            <w:pPr>
              <w:spacing w:after="0"/>
            </w:pPr>
            <w:r>
              <w:rPr>
                <w:sz w:val="18"/>
              </w:rPr>
              <w:t>submission_date &gt; deadline</w:t>
            </w:r>
          </w:p>
        </w:tc>
        <w:tc>
          <w:tcPr>
            <w:tcW w:type="dxa" w:w="1800"/>
            <w:vAlign w:val="center"/>
            <w:tcMar>
              <w:top w:w="80" w:type="dxa"/>
              <w:start w:w="120" w:type="dxa"/>
              <w:bottom w:w="80" w:type="dxa"/>
              <w:end w:w="120" w:type="dxa"/>
            </w:tcMar>
          </w:tcPr>
          <w:p>
            <w:pPr>
              <w:spacing w:after="0"/>
            </w:pPr>
            <w:r>
              <w:rPr>
                <w:sz w:val="18"/>
              </w:rPr>
              <w:t>0</w:t>
            </w:r>
          </w:p>
        </w:tc>
        <w:tc>
          <w:tcPr>
            <w:tcW w:type="dxa" w:w="3600"/>
            <w:vAlign w:val="center"/>
            <w:tcMar>
              <w:top w:w="80" w:type="dxa"/>
              <w:start w:w="120" w:type="dxa"/>
              <w:bottom w:w="80" w:type="dxa"/>
              <w:end w:w="120" w:type="dxa"/>
            </w:tcMar>
          </w:tcPr>
          <w:p>
            <w:pPr>
              <w:spacing w:after="0"/>
            </w:pPr>
            <w:r>
              <w:rPr>
                <w:sz w:val="18"/>
              </w:rPr>
              <w:t>The submission was late.</w:t>
            </w:r>
          </w:p>
        </w:tc>
      </w:tr>
      <w:tr>
        <w:tc>
          <w:tcPr>
            <w:tcW w:type="dxa" w:w="3960"/>
            <w:vAlign w:val="center"/>
            <w:tcMar>
              <w:top w:w="80" w:type="dxa"/>
              <w:start w:w="120" w:type="dxa"/>
              <w:bottom w:w="80" w:type="dxa"/>
              <w:end w:w="120" w:type="dxa"/>
            </w:tcMar>
          </w:tcPr>
          <w:p>
            <w:pPr>
              <w:spacing w:after="0"/>
            </w:pPr>
            <w:r>
              <w:rPr>
                <w:sz w:val="18"/>
              </w:rPr>
              <w:t>Blank or invalid date</w:t>
            </w:r>
          </w:p>
        </w:tc>
        <w:tc>
          <w:tcPr>
            <w:tcW w:type="dxa" w:w="1800"/>
            <w:vAlign w:val="center"/>
            <w:tcMar>
              <w:top w:w="80" w:type="dxa"/>
              <w:start w:w="120" w:type="dxa"/>
              <w:bottom w:w="80" w:type="dxa"/>
              <w:end w:w="120" w:type="dxa"/>
            </w:tcMar>
          </w:tcPr>
          <w:p>
            <w:pPr>
              <w:spacing w:after="0"/>
            </w:pPr>
            <w:r>
              <w:rPr>
                <w:sz w:val="18"/>
              </w:rPr>
              <w:t>Blank/None</w:t>
            </w:r>
          </w:p>
        </w:tc>
        <w:tc>
          <w:tcPr>
            <w:tcW w:type="dxa" w:w="3600"/>
            <w:vAlign w:val="center"/>
            <w:tcMar>
              <w:top w:w="80" w:type="dxa"/>
              <w:start w:w="120" w:type="dxa"/>
              <w:bottom w:w="80" w:type="dxa"/>
              <w:end w:w="120" w:type="dxa"/>
            </w:tcMar>
          </w:tcPr>
          <w:p>
            <w:pPr>
              <w:spacing w:after="0"/>
            </w:pPr>
            <w:r>
              <w:rPr>
                <w:sz w:val="18"/>
              </w:rPr>
              <w:t>The month is skipped and excluded from AVG and %.</w:t>
            </w:r>
          </w:p>
        </w:tc>
      </w:tr>
    </w:tbl>
    <w:p/>
    <w:p>
      <w:pPr>
        <w:pStyle w:val="Heading1"/>
      </w:pPr>
      <w:r>
        <w:t>Summary Computations</w:t>
      </w:r>
    </w:p>
    <w:p>
      <w:pPr>
        <w:pStyle w:val="BodyText"/>
      </w:pPr>
      <w:r>
        <w:t>For each site, the script stores only valid month flags in ontime_values. Blank cells and invalid dates are not added to that list, which means they do not count as either on time or late in the average denominator.</w:t>
      </w:r>
    </w:p>
    <w:p>
      <w:pPr>
        <w:spacing w:after="60"/>
      </w:pPr>
      <w:r>
        <w:rPr>
          <w:rFonts w:ascii="Consolas" w:hAnsi="Consolas" w:eastAsia="Consolas"/>
          <w:color w:val="1F4E79"/>
          <w:sz w:val="18"/>
        </w:rPr>
        <w:t>SUM = sum(ontime_values)</w:t>
      </w:r>
    </w:p>
    <w:p>
      <w:pPr>
        <w:spacing w:after="60"/>
      </w:pPr>
      <w:r>
        <w:rPr>
          <w:rFonts w:ascii="Consolas" w:hAnsi="Consolas" w:eastAsia="Consolas"/>
          <w:color w:val="1F4E79"/>
          <w:sz w:val="18"/>
        </w:rPr>
        <w:t>AVG = round(sum(ontime_values) / len(ontime_values), 2)</w:t>
      </w:r>
    </w:p>
    <w:p>
      <w:pPr>
        <w:spacing w:after="60"/>
      </w:pPr>
      <w:r>
        <w:rPr>
          <w:rFonts w:ascii="Consolas" w:hAnsi="Consolas" w:eastAsia="Consolas"/>
          <w:color w:val="1F4E79"/>
          <w:sz w:val="18"/>
        </w:rPr>
        <w:t>% = round(AVG * 100, 0)</w:t>
      </w:r>
    </w:p>
    <w:tbl>
      <w:tblPr>
        <w:tblStyle w:val="TableGrid"/>
        <w:tblW w:type="dxa" w:w="9360"/>
        <w:tblLook w:firstColumn="1" w:firstRow="1" w:lastColumn="0" w:lastRow="0" w:noHBand="0" w:noVBand="1" w:val="04A0"/>
        <w:tblInd w:w="120" w:type="dxa"/>
        <w:tblLayout w:type="fixed"/>
      </w:tblPr>
      <w:tblGrid>
        <w:gridCol w:w="1800"/>
        <w:gridCol w:w="3240"/>
        <w:gridCol w:w="4320"/>
      </w:tblGrid>
      <w:tr>
        <w:tc>
          <w:tcPr>
            <w:tcW w:type="dxa" w:w="1800"/>
            <w:shd w:fill="E8EEF5"/>
            <w:vAlign w:val="center"/>
            <w:tcMar>
              <w:top w:w="80" w:type="dxa"/>
              <w:start w:w="120" w:type="dxa"/>
              <w:bottom w:w="80" w:type="dxa"/>
              <w:end w:w="120" w:type="dxa"/>
            </w:tcMar>
          </w:tcPr>
          <w:p>
            <w:pPr>
              <w:spacing w:after="0"/>
            </w:pPr>
            <w:r>
              <w:rPr>
                <w:b/>
                <w:sz w:val="19"/>
              </w:rPr>
              <w:t>Metric</w:t>
            </w:r>
          </w:p>
        </w:tc>
        <w:tc>
          <w:tcPr>
            <w:tcW w:type="dxa" w:w="3240"/>
            <w:shd w:fill="E8EEF5"/>
            <w:vAlign w:val="center"/>
            <w:tcMar>
              <w:top w:w="80" w:type="dxa"/>
              <w:start w:w="120" w:type="dxa"/>
              <w:bottom w:w="80" w:type="dxa"/>
              <w:end w:w="120" w:type="dxa"/>
            </w:tcMar>
          </w:tcPr>
          <w:p>
            <w:pPr>
              <w:spacing w:after="0"/>
            </w:pPr>
            <w:r>
              <w:rPr>
                <w:b/>
                <w:sz w:val="19"/>
              </w:rPr>
              <w:t>Computation</w:t>
            </w:r>
          </w:p>
        </w:tc>
        <w:tc>
          <w:tcPr>
            <w:tcW w:type="dxa" w:w="4320"/>
            <w:shd w:fill="E8EEF5"/>
            <w:vAlign w:val="center"/>
            <w:tcMar>
              <w:top w:w="80" w:type="dxa"/>
              <w:start w:w="120" w:type="dxa"/>
              <w:bottom w:w="80" w:type="dxa"/>
              <w:end w:w="120" w:type="dxa"/>
            </w:tcMar>
          </w:tcPr>
          <w:p>
            <w:pPr>
              <w:spacing w:after="0"/>
            </w:pPr>
            <w:r>
              <w:rPr>
                <w:b/>
                <w:sz w:val="19"/>
              </w:rPr>
              <w:t>Interpretation</w:t>
            </w:r>
          </w:p>
        </w:tc>
      </w:tr>
      <w:tr>
        <w:tc>
          <w:tcPr>
            <w:tcW w:type="dxa" w:w="1800"/>
            <w:vAlign w:val="center"/>
            <w:tcMar>
              <w:top w:w="80" w:type="dxa"/>
              <w:start w:w="120" w:type="dxa"/>
              <w:bottom w:w="80" w:type="dxa"/>
              <w:end w:w="120" w:type="dxa"/>
            </w:tcMar>
          </w:tcPr>
          <w:p>
            <w:pPr>
              <w:spacing w:after="0"/>
            </w:pPr>
            <w:r>
              <w:rPr>
                <w:sz w:val="18"/>
              </w:rPr>
              <w:t>SUM</w:t>
            </w:r>
          </w:p>
        </w:tc>
        <w:tc>
          <w:tcPr>
            <w:tcW w:type="dxa" w:w="3240"/>
            <w:vAlign w:val="center"/>
            <w:tcMar>
              <w:top w:w="80" w:type="dxa"/>
              <w:start w:w="120" w:type="dxa"/>
              <w:bottom w:w="80" w:type="dxa"/>
              <w:end w:w="120" w:type="dxa"/>
            </w:tcMar>
          </w:tcPr>
          <w:p>
            <w:pPr>
              <w:spacing w:after="0"/>
            </w:pPr>
            <w:r>
              <w:rPr>
                <w:sz w:val="18"/>
              </w:rPr>
              <w:t>Sum of all 1/0 flags</w:t>
            </w:r>
          </w:p>
        </w:tc>
        <w:tc>
          <w:tcPr>
            <w:tcW w:type="dxa" w:w="4320"/>
            <w:vAlign w:val="center"/>
            <w:tcMar>
              <w:top w:w="80" w:type="dxa"/>
              <w:start w:w="120" w:type="dxa"/>
              <w:bottom w:w="80" w:type="dxa"/>
              <w:end w:w="120" w:type="dxa"/>
            </w:tcMar>
          </w:tcPr>
          <w:p>
            <w:pPr>
              <w:spacing w:after="0"/>
            </w:pPr>
            <w:r>
              <w:rPr>
                <w:sz w:val="18"/>
              </w:rPr>
              <w:t>Number of valid monthly submissions that were on time.</w:t>
            </w:r>
          </w:p>
        </w:tc>
      </w:tr>
      <w:tr>
        <w:tc>
          <w:tcPr>
            <w:tcW w:type="dxa" w:w="1800"/>
            <w:vAlign w:val="center"/>
            <w:tcMar>
              <w:top w:w="80" w:type="dxa"/>
              <w:start w:w="120" w:type="dxa"/>
              <w:bottom w:w="80" w:type="dxa"/>
              <w:end w:w="120" w:type="dxa"/>
            </w:tcMar>
          </w:tcPr>
          <w:p>
            <w:pPr>
              <w:spacing w:after="0"/>
            </w:pPr>
            <w:r>
              <w:rPr>
                <w:sz w:val="18"/>
              </w:rPr>
              <w:t>AVG</w:t>
            </w:r>
          </w:p>
        </w:tc>
        <w:tc>
          <w:tcPr>
            <w:tcW w:type="dxa" w:w="3240"/>
            <w:vAlign w:val="center"/>
            <w:tcMar>
              <w:top w:w="80" w:type="dxa"/>
              <w:start w:w="120" w:type="dxa"/>
              <w:bottom w:w="80" w:type="dxa"/>
              <w:end w:w="120" w:type="dxa"/>
            </w:tcMar>
          </w:tcPr>
          <w:p>
            <w:pPr>
              <w:spacing w:after="0"/>
            </w:pPr>
            <w:r>
              <w:rPr>
                <w:sz w:val="18"/>
              </w:rPr>
              <w:t>On-time sum divided by valid month count</w:t>
            </w:r>
          </w:p>
        </w:tc>
        <w:tc>
          <w:tcPr>
            <w:tcW w:type="dxa" w:w="4320"/>
            <w:vAlign w:val="center"/>
            <w:tcMar>
              <w:top w:w="80" w:type="dxa"/>
              <w:start w:w="120" w:type="dxa"/>
              <w:bottom w:w="80" w:type="dxa"/>
              <w:end w:w="120" w:type="dxa"/>
            </w:tcMar>
          </w:tcPr>
          <w:p>
            <w:pPr>
              <w:spacing w:after="0"/>
            </w:pPr>
            <w:r>
              <w:rPr>
                <w:sz w:val="18"/>
              </w:rPr>
              <w:t>Proportion of valid months submitted on time, rounded to two decimals.</w:t>
            </w:r>
          </w:p>
        </w:tc>
      </w:tr>
      <w:tr>
        <w:tc>
          <w:tcPr>
            <w:tcW w:type="dxa" w:w="1800"/>
            <w:vAlign w:val="center"/>
            <w:tcMar>
              <w:top w:w="80" w:type="dxa"/>
              <w:start w:w="120" w:type="dxa"/>
              <w:bottom w:w="80" w:type="dxa"/>
              <w:end w:w="120" w:type="dxa"/>
            </w:tcMar>
          </w:tcPr>
          <w:p>
            <w:pPr>
              <w:spacing w:after="0"/>
            </w:pPr>
            <w:r>
              <w:rPr>
                <w:sz w:val="18"/>
              </w:rPr>
              <w:t>%</w:t>
            </w:r>
          </w:p>
        </w:tc>
        <w:tc>
          <w:tcPr>
            <w:tcW w:type="dxa" w:w="3240"/>
            <w:vAlign w:val="center"/>
            <w:tcMar>
              <w:top w:w="80" w:type="dxa"/>
              <w:start w:w="120" w:type="dxa"/>
              <w:bottom w:w="80" w:type="dxa"/>
              <w:end w:w="120" w:type="dxa"/>
            </w:tcMar>
          </w:tcPr>
          <w:p>
            <w:pPr>
              <w:spacing w:after="0"/>
            </w:pPr>
            <w:r>
              <w:rPr>
                <w:sz w:val="18"/>
              </w:rPr>
              <w:t>AVG multiplied by 100</w:t>
            </w:r>
          </w:p>
        </w:tc>
        <w:tc>
          <w:tcPr>
            <w:tcW w:type="dxa" w:w="4320"/>
            <w:vAlign w:val="center"/>
            <w:tcMar>
              <w:top w:w="80" w:type="dxa"/>
              <w:start w:w="120" w:type="dxa"/>
              <w:bottom w:w="80" w:type="dxa"/>
              <w:end w:w="120" w:type="dxa"/>
            </w:tcMar>
          </w:tcPr>
          <w:p>
            <w:pPr>
              <w:spacing w:after="0"/>
            </w:pPr>
            <w:r>
              <w:rPr>
                <w:sz w:val="18"/>
              </w:rPr>
              <w:t>On-time percentage, rounded to zero decimal places.</w:t>
            </w:r>
          </w:p>
        </w:tc>
      </w:tr>
    </w:tbl>
    <w:p/>
    <w:p>
      <w:pPr>
        <w:pStyle w:val="Heading1"/>
      </w:pPr>
      <w:r>
        <w:t>Worked Example</w:t>
      </w:r>
    </w:p>
    <w:p>
      <w:pPr>
        <w:pStyle w:val="BodyText"/>
      </w:pPr>
      <w:r>
        <w:t>Assume a site has valid submission dates for January, February, and March. January and March are on time, while February is late. The ontime_values list becomes [1, 0, 1].</w:t>
      </w:r>
    </w:p>
    <w:p>
      <w:pPr>
        <w:pStyle w:val="BodyText"/>
      </w:pPr>
      <w:r>
        <w:t>The SUM is 2. The AVG is 2 divided by 3, rounded to 0.67. The percentage is 0.67 x 100, rounded to 67%. If April is blank, April is skipped and does not change the denominator.</w:t>
      </w:r>
    </w:p>
    <w:p>
      <w:pPr>
        <w:pStyle w:val="Heading1"/>
      </w:pPr>
      <w:r>
        <w:t>Output Workbook Structure</w:t>
      </w:r>
    </w:p>
    <w:tbl>
      <w:tblPr>
        <w:tblStyle w:val="TableGrid"/>
        <w:tblW w:type="dxa" w:w="9360"/>
        <w:tblLook w:firstColumn="1" w:firstRow="1" w:lastColumn="0" w:lastRow="0" w:noHBand="0" w:noVBand="1" w:val="04A0"/>
        <w:tblInd w:w="120" w:type="dxa"/>
        <w:tblLayout w:type="fixed"/>
      </w:tblPr>
      <w:tblGrid>
        <w:gridCol w:w="2160"/>
        <w:gridCol w:w="7200"/>
      </w:tblGrid>
      <w:tr>
        <w:tc>
          <w:tcPr>
            <w:tcW w:type="dxa" w:w="2160"/>
            <w:shd w:fill="E8EEF5"/>
            <w:vAlign w:val="center"/>
            <w:tcMar>
              <w:top w:w="80" w:type="dxa"/>
              <w:start w:w="120" w:type="dxa"/>
              <w:bottom w:w="80" w:type="dxa"/>
              <w:end w:w="120" w:type="dxa"/>
            </w:tcMar>
          </w:tcPr>
          <w:p>
            <w:pPr>
              <w:spacing w:after="0"/>
            </w:pPr>
            <w:r>
              <w:rPr>
                <w:b/>
                <w:sz w:val="19"/>
              </w:rPr>
              <w:t>Column type</w:t>
            </w:r>
          </w:p>
        </w:tc>
        <w:tc>
          <w:tcPr>
            <w:tcW w:type="dxa" w:w="7200"/>
            <w:shd w:fill="E8EEF5"/>
            <w:vAlign w:val="center"/>
            <w:tcMar>
              <w:top w:w="80" w:type="dxa"/>
              <w:start w:w="120" w:type="dxa"/>
              <w:bottom w:w="80" w:type="dxa"/>
              <w:end w:w="120" w:type="dxa"/>
            </w:tcMar>
          </w:tcPr>
          <w:p>
            <w:pPr>
              <w:spacing w:after="0"/>
            </w:pPr>
            <w:r>
              <w:rPr>
                <w:b/>
                <w:sz w:val="19"/>
              </w:rPr>
              <w:t>Contents</w:t>
            </w:r>
          </w:p>
        </w:tc>
      </w:tr>
      <w:tr>
        <w:tc>
          <w:tcPr>
            <w:tcW w:type="dxa" w:w="2160"/>
            <w:vAlign w:val="center"/>
            <w:tcMar>
              <w:top w:w="80" w:type="dxa"/>
              <w:start w:w="120" w:type="dxa"/>
              <w:bottom w:w="80" w:type="dxa"/>
              <w:end w:w="120" w:type="dxa"/>
            </w:tcMar>
          </w:tcPr>
          <w:p>
            <w:pPr>
              <w:spacing w:after="0"/>
            </w:pPr>
            <w:r>
              <w:rPr>
                <w:sz w:val="18"/>
              </w:rPr>
              <w:t>Site</w:t>
            </w:r>
          </w:p>
        </w:tc>
        <w:tc>
          <w:tcPr>
            <w:tcW w:type="dxa" w:w="7200"/>
            <w:vAlign w:val="center"/>
            <w:tcMar>
              <w:top w:w="80" w:type="dxa"/>
              <w:start w:w="120" w:type="dxa"/>
              <w:bottom w:w="80" w:type="dxa"/>
              <w:end w:w="120" w:type="dxa"/>
            </w:tcMar>
          </w:tcPr>
          <w:p>
            <w:pPr>
              <w:spacing w:after="0"/>
            </w:pPr>
            <w:r>
              <w:rPr>
                <w:sz w:val="18"/>
              </w:rPr>
              <w:t>The value from the first input column.</w:t>
            </w:r>
          </w:p>
        </w:tc>
      </w:tr>
      <w:tr>
        <w:tc>
          <w:tcPr>
            <w:tcW w:type="dxa" w:w="2160"/>
            <w:vAlign w:val="center"/>
            <w:tcMar>
              <w:top w:w="80" w:type="dxa"/>
              <w:start w:w="120" w:type="dxa"/>
              <w:bottom w:w="80" w:type="dxa"/>
              <w:end w:w="120" w:type="dxa"/>
            </w:tcMar>
          </w:tcPr>
          <w:p>
            <w:pPr>
              <w:spacing w:after="0"/>
            </w:pPr>
            <w:r>
              <w:rPr>
                <w:sz w:val="18"/>
              </w:rPr>
              <w:t>Monthly columns</w:t>
            </w:r>
          </w:p>
        </w:tc>
        <w:tc>
          <w:tcPr>
            <w:tcW w:type="dxa" w:w="7200"/>
            <w:vAlign w:val="center"/>
            <w:tcMar>
              <w:top w:w="80" w:type="dxa"/>
              <w:start w:w="120" w:type="dxa"/>
              <w:bottom w:w="80" w:type="dxa"/>
              <w:end w:w="120" w:type="dxa"/>
            </w:tcMar>
          </w:tcPr>
          <w:p>
            <w:pPr>
              <w:spacing w:after="0"/>
            </w:pPr>
            <w:r>
              <w:rPr>
                <w:sz w:val="18"/>
              </w:rPr>
              <w:t>1 for on time, 0 for late, blank for missing or invalid submission date.</w:t>
            </w:r>
          </w:p>
        </w:tc>
      </w:tr>
      <w:tr>
        <w:tc>
          <w:tcPr>
            <w:tcW w:type="dxa" w:w="2160"/>
            <w:vAlign w:val="center"/>
            <w:tcMar>
              <w:top w:w="80" w:type="dxa"/>
              <w:start w:w="120" w:type="dxa"/>
              <w:bottom w:w="80" w:type="dxa"/>
              <w:end w:w="120" w:type="dxa"/>
            </w:tcMar>
          </w:tcPr>
          <w:p>
            <w:pPr>
              <w:spacing w:after="0"/>
            </w:pPr>
            <w:r>
              <w:rPr>
                <w:sz w:val="18"/>
              </w:rPr>
              <w:t>SUM</w:t>
            </w:r>
          </w:p>
        </w:tc>
        <w:tc>
          <w:tcPr>
            <w:tcW w:type="dxa" w:w="7200"/>
            <w:vAlign w:val="center"/>
            <w:tcMar>
              <w:top w:w="80" w:type="dxa"/>
              <w:start w:w="120" w:type="dxa"/>
              <w:bottom w:w="80" w:type="dxa"/>
              <w:end w:w="120" w:type="dxa"/>
            </w:tcMar>
          </w:tcPr>
          <w:p>
            <w:pPr>
              <w:spacing w:after="0"/>
            </w:pPr>
            <w:r>
              <w:rPr>
                <w:sz w:val="18"/>
              </w:rPr>
              <w:t>Total count of on-time valid months.</w:t>
            </w:r>
          </w:p>
        </w:tc>
      </w:tr>
      <w:tr>
        <w:tc>
          <w:tcPr>
            <w:tcW w:type="dxa" w:w="2160"/>
            <w:vAlign w:val="center"/>
            <w:tcMar>
              <w:top w:w="80" w:type="dxa"/>
              <w:start w:w="120" w:type="dxa"/>
              <w:bottom w:w="80" w:type="dxa"/>
              <w:end w:w="120" w:type="dxa"/>
            </w:tcMar>
          </w:tcPr>
          <w:p>
            <w:pPr>
              <w:spacing w:after="0"/>
            </w:pPr>
            <w:r>
              <w:rPr>
                <w:sz w:val="18"/>
              </w:rPr>
              <w:t>AVG</w:t>
            </w:r>
          </w:p>
        </w:tc>
        <w:tc>
          <w:tcPr>
            <w:tcW w:type="dxa" w:w="7200"/>
            <w:vAlign w:val="center"/>
            <w:tcMar>
              <w:top w:w="80" w:type="dxa"/>
              <w:start w:w="120" w:type="dxa"/>
              <w:bottom w:w="80" w:type="dxa"/>
              <w:end w:w="120" w:type="dxa"/>
            </w:tcMar>
          </w:tcPr>
          <w:p>
            <w:pPr>
              <w:spacing w:after="0"/>
            </w:pPr>
            <w:r>
              <w:rPr>
                <w:sz w:val="18"/>
              </w:rPr>
              <w:t>Average on-time score across valid months.</w:t>
            </w:r>
          </w:p>
        </w:tc>
      </w:tr>
      <w:tr>
        <w:tc>
          <w:tcPr>
            <w:tcW w:type="dxa" w:w="2160"/>
            <w:vAlign w:val="center"/>
            <w:tcMar>
              <w:top w:w="80" w:type="dxa"/>
              <w:start w:w="120" w:type="dxa"/>
              <w:bottom w:w="80" w:type="dxa"/>
              <w:end w:w="120" w:type="dxa"/>
            </w:tcMar>
          </w:tcPr>
          <w:p>
            <w:pPr>
              <w:spacing w:after="0"/>
            </w:pPr>
            <w:r>
              <w:rPr>
                <w:sz w:val="18"/>
              </w:rPr>
              <w:t>%</w:t>
            </w:r>
          </w:p>
        </w:tc>
        <w:tc>
          <w:tcPr>
            <w:tcW w:type="dxa" w:w="7200"/>
            <w:vAlign w:val="center"/>
            <w:tcMar>
              <w:top w:w="80" w:type="dxa"/>
              <w:start w:w="120" w:type="dxa"/>
              <w:bottom w:w="80" w:type="dxa"/>
              <w:end w:w="120" w:type="dxa"/>
            </w:tcMar>
          </w:tcPr>
          <w:p>
            <w:pPr>
              <w:spacing w:after="0"/>
            </w:pPr>
            <w:r>
              <w:rPr>
                <w:sz w:val="18"/>
              </w:rPr>
              <w:t>Rounded percentage form of AVG.</w:t>
            </w:r>
          </w:p>
        </w:tc>
      </w:tr>
    </w:tbl>
    <w:p/>
    <w:p>
      <w:pPr>
        <w:pStyle w:val="Heading1"/>
      </w:pPr>
      <w:r>
        <w:t>Important Notes and Watch Points</w:t>
      </w:r>
    </w:p>
    <w:p>
      <w:pPr>
        <w:pStyle w:val="ListBullet"/>
      </w:pPr>
      <w:r>
        <w:t>Blank submission cells are skipped completely, so they do not lower a site's average.</w:t>
      </w:r>
    </w:p>
    <w:p>
      <w:pPr>
        <w:pStyle w:val="ListBullet"/>
      </w:pPr>
      <w:r>
        <w:t>Invalid dates are also skipped and written as blank/None in the output.</w:t>
      </w:r>
    </w:p>
    <w:p>
      <w:pPr>
        <w:pStyle w:val="ListBullet"/>
      </w:pPr>
      <w:r>
        <w:t>The month detection depends on the first three characters of each monthly column header.</w:t>
      </w:r>
    </w:p>
    <w:p>
      <w:pPr>
        <w:pStyle w:val="ListBullet"/>
      </w:pPr>
      <w:r>
        <w:t>If a month column has an unrecognized first-three-character abbreviation, the script may fail when computing the deadline because month_num will be None.</w:t>
      </w:r>
    </w:p>
    <w:p>
      <w:pPr>
        <w:pStyle w:val="ListBullet"/>
      </w:pPr>
      <w:r>
        <w:t>The variable valid_count is incremented for valid months but is not used in the final summary; the effective denominator is len(ontime_values).</w:t>
      </w:r>
    </w:p>
    <w:p>
      <w:pPr>
        <w:pStyle w:val="ListBullet"/>
      </w:pPr>
      <w:r>
        <w:t>The output file is always named on_time_submission_report.xlsx and will overwrite an existing file with the same name in the input folder.</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300" w:lineRule="auto"/>
    </w:pPr>
    <w:rPr>
      <w:rFonts w:ascii="Calibri" w:hAnsi="Calibri" w:eastAsia="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