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160" w:before="90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8"/>
          <w:szCs w:val="18"/>
        </w:rPr>
        <w:t xml:space="preserve">GLOBAL EQUITY STRATEGY · EUROPE</w:t>
      </w:r>
    </w:p>
    <w:p>
      <w:pPr>
        <w:keepNext w:val="false"/>
        <w:spacing w:after="80" w:before="0" w:line="27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STOXX Europe 600</w:t>
      </w:r>
    </w:p>
    <w:p>
      <w:pPr>
        <w:keepNext w:val="false"/>
        <w:spacing w:after="240" w:before="0" w:line="5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50"/>
          <w:szCs w:val="50"/>
        </w:rPr>
        <w:t xml:space="preserve">PRO CASE — 로테이션은 더 이어질 수 있다</w:t>
      </w:r>
    </w:p>
    <w:p>
      <w:pPr>
        <w:keepNext w:val="false"/>
        <w:spacing w:after="360" w:before="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23"/>
          <w:szCs w:val="23"/>
        </w:rPr>
        <w:t xml:space="preserve">매크로 · 12MF EPS · 실제 revision rate · 기여도 · 10Y 밸류에이션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EAF6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B9E77"/>
                <w:sz w:val="19"/>
                <w:szCs w:val="19"/>
              </w:rPr>
              <w:t xml:space="preserve">[INFERENCE] 한 문장 결론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유럽은 고성장 베팅이 아니라 낮은 기대의 정상화와 이익 확산에 대한 베팅이다. STOXX600 12MF EPS는 13주 +6.7%, 실제 revision ratio는 +23%이며 8/10개 섹터가 순상향이다.</w:t>
            </w:r>
          </w:p>
        </w:tc>
      </w:tr>
    </w:tbl>
    <w:p>
      <w:pPr>
        <w:keepNext w:val="false"/>
        <w:spacing w:after="260" w:before="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9"/>
          <w:szCs w:val="19"/>
        </w:rPr>
        <w:t xml:space="preserve"/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2090"/>
        <w:gridCol w:w="3135"/>
        <w:gridCol w:w="3344"/>
        <w:gridCol w:w="1881"/>
      </w:tblGrid>
      <w:tr>
        <w:trPr>
          <w:tblHeader/>
        </w:trPr>
        <w:tc>
          <w:tcPr>
            <w:tcW w:type="dxa" w:w="2090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기준일</w:t>
            </w:r>
          </w:p>
        </w:tc>
        <w:tc>
          <w:tcPr>
            <w:tcW w:type="dxa" w:w="3135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데이터 구간</w:t>
            </w:r>
          </w:p>
        </w:tc>
        <w:tc>
          <w:tcPr>
            <w:tcW w:type="dxa" w:w="3344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대상</w:t>
            </w:r>
          </w:p>
        </w:tc>
        <w:tc>
          <w:tcPr>
            <w:tcW w:type="dxa" w:w="1881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버전</w:t>
            </w:r>
          </w:p>
        </w:tc>
      </w:tr>
      <w:tr>
        <w:trPr>
          <w:cantSplit/>
        </w:trPr>
        <w:tc>
          <w:tcPr>
            <w:tcW w:type="dxa" w:w="209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6"/>
                <w:szCs w:val="16"/>
              </w:rPr>
              <w:t xml:space="preserve">2026-08-25</w:t>
            </w:r>
          </w:p>
        </w:tc>
        <w:tc>
          <w:tcPr>
            <w:tcW w:type="dxa" w:w="313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6"/>
                <w:szCs w:val="16"/>
              </w:rPr>
              <w:t xml:space="preserve">종목 2025-06~ / PER 2011~</w:t>
            </w:r>
          </w:p>
        </w:tc>
        <w:tc>
          <w:tcPr>
            <w:tcW w:type="dxa" w:w="334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6"/>
                <w:szCs w:val="16"/>
              </w:rPr>
              <w:t xml:space="preserve">STOXX600 중심 / SX5E 비교</w:t>
            </w:r>
          </w:p>
        </w:tc>
        <w:tc>
          <w:tcPr>
            <w:tcW w:type="dxa" w:w="188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6"/>
                <w:szCs w:val="16"/>
              </w:rPr>
              <w:t xml:space="preserve">PRO</w:t>
            </w:r>
          </w:p>
        </w:tc>
      </w:tr>
    </w:tbl>
    <w:p>
      <w:pPr>
        <w:keepNext w:val="false"/>
        <w:spacing w:after="50" w:before="22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작성 목적: 국민연금 펀드매니저 15~20분 발표용 판단자료</w:t>
      </w:r>
    </w:p>
    <w:p>
      <w:pPr>
        <w:keepNext w:val="false"/>
        <w:spacing w:after="0" w:before="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중요: 본문 수치는 Bloomberg BQL 원자료를 종목 단위로 집계한 연구용 계산값이며, 투자지시가 아니다.</w:t>
      </w:r>
    </w:p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1B9E77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Executive Summary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EAF6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B9E77"/>
                <w:sz w:val="19"/>
                <w:szCs w:val="19"/>
              </w:rPr>
              <w:t xml:space="preserve">판단: 조건부 비중확대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방향은 긍정적이다. 다만 금융을 추격하기보다 산업재·소재·선별 기술의 이익 확산을 확인하며 STOXX600 중심으로 접근하는 편이 낫다.</w:t>
            </w:r>
          </w:p>
        </w:tc>
      </w:tr>
    </w:tbl>
    <w:p>
      <w:pPr>
        <w:keepNext w:val="false"/>
        <w:spacing w:after="80" w:before="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9"/>
          <w:szCs w:val="19"/>
        </w:rPr>
        <w:t xml:space="preserve"/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2508"/>
        <w:gridCol w:w="1986"/>
        <w:gridCol w:w="1986"/>
        <w:gridCol w:w="1986"/>
        <w:gridCol w:w="1986"/>
      </w:tblGrid>
      <w:tr>
        <w:trPr>
          <w:tblHeader/>
        </w:trPr>
        <w:tc>
          <w:tcPr>
            <w:tcW w:type="dxa" w:w="2508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지표</w:t>
            </w:r>
          </w:p>
        </w:tc>
        <w:tc>
          <w:tcPr>
            <w:tcW w:type="dxa" w:w="1986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STOXX600</w:t>
            </w:r>
          </w:p>
        </w:tc>
        <w:tc>
          <w:tcPr>
            <w:tcW w:type="dxa" w:w="1986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SX5E</w:t>
            </w:r>
          </w:p>
        </w:tc>
        <w:tc>
          <w:tcPr>
            <w:tcW w:type="dxa" w:w="1986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S&amp;P500</w:t>
            </w:r>
          </w:p>
        </w:tc>
        <w:tc>
          <w:tcPr>
            <w:tcW w:type="dxa" w:w="1986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Nasdaq100</w:t>
            </w:r>
          </w:p>
        </w:tc>
      </w:tr>
      <w:tr>
        <w:trPr>
          <w:cantSplit/>
        </w:trPr>
        <w:tc>
          <w:tcPr>
            <w:tcW w:type="dxa" w:w="2508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12MF EPS 13W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+6.7%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+6.0%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+9.7%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+12.1%</w:t>
            </w:r>
          </w:p>
        </w:tc>
      </w:tr>
      <w:tr>
        <w:trPr>
          <w:cantSplit/>
        </w:trPr>
        <w:tc>
          <w:tcPr>
            <w:tcW w:type="dxa" w:w="2508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12MF EPS 4W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+1.9%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+1.5%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+3.1%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+6.0%</w:t>
            </w:r>
          </w:p>
        </w:tc>
      </w:tr>
      <w:tr>
        <w:trPr>
          <w:cantSplit/>
        </w:trPr>
        <w:tc>
          <w:tcPr>
            <w:tcW w:type="dxa" w:w="2508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EPS MMT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-0.13%p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-0.31%p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+0.09%p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+2.28%p</w:t>
            </w:r>
          </w:p>
        </w:tc>
      </w:tr>
      <w:tr>
        <w:trPr>
          <w:cantSplit/>
        </w:trPr>
        <w:tc>
          <w:tcPr>
            <w:tcW w:type="dxa" w:w="2508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Actual 12MF ERR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+23%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n/a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n/a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2508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Price 3M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+4.4%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+6.2%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+1.8%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-2.0%</w:t>
            </w:r>
          </w:p>
        </w:tc>
      </w:tr>
      <w:tr>
        <w:trPr>
          <w:cantSplit/>
        </w:trPr>
        <w:tc>
          <w:tcPr>
            <w:tcW w:type="dxa" w:w="2508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12MF P/E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14.7x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15.6x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20.0x</w:t>
            </w:r>
          </w:p>
        </w:tc>
        <w:tc>
          <w:tcPr>
            <w:tcW w:type="dxa" w:w="198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23.0x</w:t>
            </w:r>
          </w:p>
        </w:tc>
      </w:tr>
      <w:tr>
        <w:trPr>
          <w:cantSplit/>
        </w:trPr>
        <w:tc>
          <w:tcPr>
            <w:tcW w:type="dxa" w:w="2508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FY2 EPS growth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+14.5%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+16.3%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+21.1%</w:t>
            </w:r>
          </w:p>
        </w:tc>
        <w:tc>
          <w:tcPr>
            <w:tcW w:type="dxa" w:w="198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+36.5%</w:t>
            </w:r>
          </w:p>
        </w:tc>
      </w:tr>
    </w:tbl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[FACT] 종목 집계 [D1], 실제 ERR·장기 P/E 시계열 [D2]. 기준일 2026-08-21.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STOXX600 12MF EPS는 13주 +6.7%, 4주 +1.9% 증가했고 13주 개선 종목 비중은 72%다.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실제 12MF ERR은 +23%로 13주 전보다 +17%p 개선됐고, 8/10개 섹터가 순상향이다.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[D2]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산업재는 EPS13 +9.3%, EPS 기여 +1.76%p, ERR +33%, breadth 83%로 네 지표가 같은 방향이다.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[D1][D2]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SXXP 12MF P/E 14.7배는 SPX보다 낮지만, 외부 시계열상 STOXX600 자체는 10년 67백분위다. 상대가치와 절대가치를 구분한 선별 접근이 적절하다.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[D1][D2]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FFF2E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28E2B"/>
                <w:sz w:val="19"/>
                <w:szCs w:val="19"/>
              </w:rPr>
              <w:t xml:space="preserve">네 지표를 분리해서 읽는다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EPS13은 추정치 수준의 변화 규모, ERR은 상향·하향 이벤트의 순균형, breadth는 개선 종목 비율, 기여도는 비중×EPS 변화다. ERR은 비율이므로 시총을 곱해 지수 EPS 기여도로 더하지 않는다.</w:t>
            </w:r>
          </w:p>
        </w:tc>
      </w:tr>
    </w:tbl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1B9E77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1. 매크로·통화정책: 같은 숫자, 다른 해석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672"/>
        <w:gridCol w:w="3240"/>
        <w:gridCol w:w="5539"/>
      </w:tblGrid>
      <w:tr>
        <w:trPr>
          <w:tblHeader/>
        </w:trPr>
        <w:tc>
          <w:tcPr>
            <w:tcW w:type="dxa" w:w="1672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축</w:t>
            </w:r>
          </w:p>
        </w:tc>
        <w:tc>
          <w:tcPr>
            <w:tcW w:type="dxa" w:w="3240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최신 숫자</w:t>
            </w:r>
          </w:p>
        </w:tc>
        <w:tc>
          <w:tcPr>
            <w:tcW w:type="dxa" w:w="5539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PRO 해석</w:t>
            </w:r>
          </w:p>
        </w:tc>
      </w:tr>
      <w:tr>
        <w:trPr>
          <w:cantSplit/>
        </w:trPr>
        <w:tc>
          <w:tcPr>
            <w:tcW w:type="dxa" w:w="1672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성장</w:t>
            </w:r>
          </w:p>
        </w:tc>
        <w:tc>
          <w:tcPr>
            <w:tcW w:type="dxa" w:w="324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2Q26 GDP +0.4% q/q, +1.0% y/y</w:t>
            </w:r>
          </w:p>
        </w:tc>
        <w:tc>
          <w:tcPr>
            <w:tcW w:type="dxa" w:w="553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기대 +0.2%를 웃돈 저점 반등</w:t>
            </w:r>
          </w:p>
        </w:tc>
      </w:tr>
      <w:tr>
        <w:trPr>
          <w:cantSplit/>
        </w:trPr>
        <w:tc>
          <w:tcPr>
            <w:tcW w:type="dxa" w:w="1672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물가</w:t>
            </w:r>
          </w:p>
        </w:tc>
        <w:tc>
          <w:tcPr>
            <w:tcW w:type="dxa" w:w="3240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7월 HICP 2.9%, 에너지 제외 2.2%</w:t>
            </w:r>
          </w:p>
        </w:tc>
        <w:tc>
          <w:tcPr>
            <w:tcW w:type="dxa" w:w="553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기조물가 안정, 충격이 에너지에 집중</w:t>
            </w:r>
          </w:p>
        </w:tc>
      </w:tr>
      <w:tr>
        <w:trPr>
          <w:cantSplit/>
        </w:trPr>
        <w:tc>
          <w:tcPr>
            <w:tcW w:type="dxa" w:w="1672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ECB</w:t>
            </w:r>
          </w:p>
        </w:tc>
        <w:tc>
          <w:tcPr>
            <w:tcW w:type="dxa" w:w="324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예금금리 2.25%, 6월 +25bp</w:t>
            </w:r>
          </w:p>
        </w:tc>
        <w:tc>
          <w:tcPr>
            <w:tcW w:type="dxa" w:w="553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은행 NII와 명목성장에 우호적</w:t>
            </w:r>
          </w:p>
        </w:tc>
      </w:tr>
      <w:tr>
        <w:trPr>
          <w:cantSplit/>
        </w:trPr>
        <w:tc>
          <w:tcPr>
            <w:tcW w:type="dxa" w:w="1672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ECB 전망</w:t>
            </w:r>
          </w:p>
        </w:tc>
        <w:tc>
          <w:tcPr>
            <w:tcW w:type="dxa" w:w="3240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2026 GDP 0.8%, HICP 3.0%</w:t>
            </w:r>
          </w:p>
        </w:tc>
        <w:tc>
          <w:tcPr>
            <w:tcW w:type="dxa" w:w="553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낮은 허들: 소폭 서프라이즈의 주가 탄력</w:t>
            </w:r>
          </w:p>
        </w:tc>
      </w:tr>
      <w:tr>
        <w:trPr>
          <w:cantSplit/>
        </w:trPr>
        <w:tc>
          <w:tcPr>
            <w:tcW w:type="dxa" w:w="1672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독일 재정</w:t>
            </w:r>
          </w:p>
        </w:tc>
        <w:tc>
          <w:tcPr>
            <w:tcW w:type="dxa" w:w="324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2026 투자 €126.7bn / 2027 국방 €109.7bn</w:t>
            </w:r>
          </w:p>
        </w:tc>
        <w:tc>
          <w:tcPr>
            <w:tcW w:type="dxa" w:w="553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산업재·건설·은행의 다년 수요</w:t>
            </w:r>
          </w:p>
        </w:tc>
      </w:tr>
      <w:tr>
        <w:trPr>
          <w:cantSplit/>
        </w:trPr>
        <w:tc>
          <w:tcPr>
            <w:tcW w:type="dxa" w:w="1672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신용</w:t>
            </w:r>
          </w:p>
        </w:tc>
        <w:tc>
          <w:tcPr>
            <w:tcW w:type="dxa" w:w="3240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기업 기준 +7%, 수요 +3%, 주택 -15%</w:t>
            </w:r>
          </w:p>
        </w:tc>
        <w:tc>
          <w:tcPr>
            <w:tcW w:type="dxa" w:w="553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예상 +19% 긴축보다 양호</w:t>
            </w:r>
          </w:p>
        </w:tc>
      </w:tr>
    </w:tbl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자료: Eurostat, ECB, 독일 연방재무부. [S1]~[S7]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유로존 2분기 성장률은 전분기 0.0%에서 +0.4%로 반등했지만 연간 성장률은 1.0%다. 절대 성장보다 기대치 대비 개선이 핵심이다.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[S1]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낮은 성장 기대와 17개국 분산구조는 소규모 개선에도 이익 추정치가 반응할 수 있는 환경을 만든다. 독일 재정은 산업재·자본재·은행으로 이어지는 중기 촉매다.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[S1][S6][S7]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ECB의 6월 기본전망은 2026년 성장률 0.8%, HICP 3.0%다. 중동 에너지 충격이 길어지면 성장 하방과 물가 상방이 동시에 커진다.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[S4]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EAF6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B9E77"/>
                <w:sz w:val="19"/>
                <w:szCs w:val="19"/>
              </w:rPr>
              <w:t xml:space="preserve">PRO가 맞으려면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헤드라인 물가가 3% 안팎에서 안정되고, 독일 재정이 실제 주문·기업대출 수요로 전환되며, ECB의 추가 긴축이 제한돼야 한다.</w:t>
            </w:r>
          </w:p>
        </w:tc>
      </w:tr>
    </w:tbl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1B9E77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2. 지수 단 펀더멘털: 가격 로테이션은 확인, 이익 우위는 미확인</w:t>
      </w:r>
    </w:p>
    <w:p>
      <w:pPr>
        <w:keepNext w:val="false"/>
        <w:spacing w:after="50" w:before="0" w:line="270"/>
        <w:jc w:val="center"/>
      </w:pPr>
      <w:r>
        <w:drawing>
          <wp:inline distT="0" distB="0" distL="0" distR="0">
            <wp:extent cx="60960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그림 1. 12MF blended EPS 13주 변화와 종목단 3개월 가격수익률.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STOXX600의 3개월 수익률 +4.4%는 S&amp;P500보다 +2.5%p, Nasdaq100보다 +6.4%p 높았다. 반면 13주 EPS 변화는 미국보다 약했다.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가격이 미국의 이익 우위를 그대로 따라가지 않았다는 사실은 포트폴리오 분산과 밸류에이션 리레이팅이 실제로 작동했음을 뜻한다.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[D1][S12]</w:t>
      </w:r>
    </w:p>
    <w:p>
      <w:pPr>
        <w:keepNext w:val="false"/>
        <w:spacing w:after="50" w:before="0" w:line="270"/>
        <w:jc w:val="center"/>
      </w:pPr>
      <w:r>
        <w:drawing>
          <wp:inline distT="0" distB="0" distL="0" distR="0">
            <wp:extent cx="6096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그림 2. P/E는 earnings yield를 이용한 조화 집계.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SXXP의 14.7배는 SPX 대비 약 26% 할인이다. 성장 격차가 유지돼도 할인 축소 여지는 남아 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</w:t>
      </w:r>
    </w:p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1B9E77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3. 섹터 확산: 금융 리더십 이후의 바통은 어디로 가나</w:t>
      </w:r>
    </w:p>
    <w:p>
      <w:pPr>
        <w:keepNext w:val="false"/>
        <w:spacing w:after="50" w:before="0" w:line="27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그림 3. 버블=비중, 오렌지=가용한 trailing-10Y P/E 75백분위 초과. [D1][D2]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672"/>
        <w:gridCol w:w="1045"/>
        <w:gridCol w:w="1254"/>
        <w:gridCol w:w="1254"/>
        <w:gridCol w:w="1045"/>
        <w:gridCol w:w="1254"/>
        <w:gridCol w:w="1463"/>
        <w:gridCol w:w="1463"/>
      </w:tblGrid>
      <w:tr>
        <w:trPr>
          <w:tblHeader/>
        </w:trPr>
        <w:tc>
          <w:tcPr>
            <w:tcW w:type="dxa" w:w="1672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섹터</w:t>
            </w:r>
          </w:p>
        </w:tc>
        <w:tc>
          <w:tcPr>
            <w:tcW w:type="dxa" w:w="1045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비중</w:t>
            </w:r>
          </w:p>
        </w:tc>
        <w:tc>
          <w:tcPr>
            <w:tcW w:type="dxa" w:w="1254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EPS13</w:t>
            </w:r>
          </w:p>
        </w:tc>
        <w:tc>
          <w:tcPr>
            <w:tcW w:type="dxa" w:w="1254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EPS기여</w:t>
            </w:r>
          </w:p>
        </w:tc>
        <w:tc>
          <w:tcPr>
            <w:tcW w:type="dxa" w:w="1045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ERR</w:t>
            </w:r>
          </w:p>
        </w:tc>
        <w:tc>
          <w:tcPr>
            <w:tcW w:type="dxa" w:w="1254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MMT</w:t>
            </w:r>
          </w:p>
        </w:tc>
        <w:tc>
          <w:tcPr>
            <w:tcW w:type="dxa" w:w="1463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Price3M</w:t>
            </w:r>
          </w:p>
        </w:tc>
        <w:tc>
          <w:tcPr>
            <w:tcW w:type="dxa" w:w="1463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P/E / 10Y pct</w:t>
            </w:r>
          </w:p>
        </w:tc>
      </w:tr>
      <w:tr>
        <w:trPr>
          <w:cantSplit/>
        </w:trPr>
        <w:tc>
          <w:tcPr>
            <w:tcW w:type="dxa" w:w="1672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Financials</w:t>
            </w:r>
          </w:p>
        </w:tc>
        <w:tc>
          <w:tcPr>
            <w:tcW w:type="dxa" w:w="104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+24.6%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+7.7%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+1.89%p</w:t>
            </w:r>
          </w:p>
        </w:tc>
        <w:tc>
          <w:tcPr>
            <w:tcW w:type="dxa" w:w="104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+45%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-1.86%p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+11.7%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11.3x / 77</w:t>
            </w:r>
          </w:p>
        </w:tc>
      </w:tr>
      <w:tr>
        <w:trPr>
          <w:cantSplit/>
        </w:trPr>
        <w:tc>
          <w:tcPr>
            <w:tcW w:type="dxa" w:w="1672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Industrials</w:t>
            </w:r>
          </w:p>
        </w:tc>
        <w:tc>
          <w:tcPr>
            <w:tcW w:type="dxa" w:w="104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+18.9%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+9.3%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+1.76%p</w:t>
            </w:r>
          </w:p>
        </w:tc>
        <w:tc>
          <w:tcPr>
            <w:tcW w:type="dxa" w:w="104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+33%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+2.25%p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+4.4%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20.7x / 85</w:t>
            </w:r>
          </w:p>
        </w:tc>
      </w:tr>
      <w:tr>
        <w:trPr>
          <w:cantSplit/>
        </w:trPr>
        <w:tc>
          <w:tcPr>
            <w:tcW w:type="dxa" w:w="1672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IT</w:t>
            </w:r>
          </w:p>
        </w:tc>
        <w:tc>
          <w:tcPr>
            <w:tcW w:type="dxa" w:w="104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+7.5%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+23.9%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+1.79%p</w:t>
            </w:r>
          </w:p>
        </w:tc>
        <w:tc>
          <w:tcPr>
            <w:tcW w:type="dxa" w:w="104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+26%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-4.69%p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+0.2%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24.0x / 65</w:t>
            </w:r>
          </w:p>
        </w:tc>
      </w:tr>
      <w:tr>
        <w:trPr>
          <w:cantSplit/>
        </w:trPr>
        <w:tc>
          <w:tcPr>
            <w:tcW w:type="dxa" w:w="1672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Materials</w:t>
            </w:r>
          </w:p>
        </w:tc>
        <w:tc>
          <w:tcPr>
            <w:tcW w:type="dxa" w:w="104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+5.8%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+9.7%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+0.57%p</w:t>
            </w:r>
          </w:p>
        </w:tc>
        <w:tc>
          <w:tcPr>
            <w:tcW w:type="dxa" w:w="104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+9%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+0.46%p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+3.0%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15.9x / 84</w:t>
            </w:r>
          </w:p>
        </w:tc>
      </w:tr>
      <w:tr>
        <w:trPr>
          <w:cantSplit/>
        </w:trPr>
        <w:tc>
          <w:tcPr>
            <w:tcW w:type="dxa" w:w="1672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Health Care</w:t>
            </w:r>
          </w:p>
        </w:tc>
        <w:tc>
          <w:tcPr>
            <w:tcW w:type="dxa" w:w="104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+11.9%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+4.4%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+0.52%p</w:t>
            </w:r>
          </w:p>
        </w:tc>
        <w:tc>
          <w:tcPr>
            <w:tcW w:type="dxa" w:w="104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+25%</w:t>
            </w:r>
          </w:p>
        </w:tc>
        <w:tc>
          <w:tcPr>
            <w:tcW w:type="dxa" w:w="125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-0.91%p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+4.2%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15.5x / 16</w:t>
            </w:r>
          </w:p>
        </w:tc>
      </w:tr>
      <w:tr>
        <w:trPr>
          <w:cantSplit/>
        </w:trPr>
        <w:tc>
          <w:tcPr>
            <w:tcW w:type="dxa" w:w="1672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Cons. Disc.</w:t>
            </w:r>
          </w:p>
        </w:tc>
        <w:tc>
          <w:tcPr>
            <w:tcW w:type="dxa" w:w="104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+8.7%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-0.5%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-0.04%p</w:t>
            </w:r>
          </w:p>
        </w:tc>
        <w:tc>
          <w:tcPr>
            <w:tcW w:type="dxa" w:w="104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-8%</w:t>
            </w:r>
          </w:p>
        </w:tc>
        <w:tc>
          <w:tcPr>
            <w:tcW w:type="dxa" w:w="125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+1.51%p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+2.2%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2"/>
                <w:szCs w:val="12"/>
              </w:rPr>
              <w:t xml:space="preserve">15.9x / 68</w:t>
            </w:r>
          </w:p>
        </w:tc>
      </w:tr>
    </w:tbl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[FACT] EPS기여=현재 섹터 비중×EPS13. P/E 백분위는 주간 trailing-10Y; Consumer Disc./Staples는 2020-09 이후 가용치. [D1][D2]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산업재는 EPS13 +9.3%, ERR +33%, MMT +2.25%p, breadth 83%가 모두 양수다. 금융 다음 리더 후보로 가장 일관적이다.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[D1][D2]</w:t>
      </w:r>
    </w:p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1B9E77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4. 실제 earnings revision rate: 순상향은 넓지만 속도는 엇갈린다</w:t>
      </w:r>
    </w:p>
    <w:p>
      <w:pPr>
        <w:keepNext w:val="false"/>
        <w:spacing w:after="50" w:before="0" w:line="27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그림 4. ERR=(상향−하향)/(상향+하향). 분석가 이벤트 수의 순균형이며 EPS 변화율이나 breadth가 아니다. [D2]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881"/>
        <w:gridCol w:w="1463"/>
        <w:gridCol w:w="1359"/>
        <w:gridCol w:w="1359"/>
        <w:gridCol w:w="1463"/>
        <w:gridCol w:w="1463"/>
        <w:gridCol w:w="1463"/>
      </w:tblGrid>
      <w:tr>
        <w:trPr>
          <w:tblHeader/>
        </w:trPr>
        <w:tc>
          <w:tcPr>
            <w:tcW w:type="dxa" w:w="1881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섹터</w:t>
            </w:r>
          </w:p>
        </w:tc>
        <w:tc>
          <w:tcPr>
            <w:tcW w:type="dxa" w:w="1463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ERR 현재</w:t>
            </w:r>
          </w:p>
        </w:tc>
        <w:tc>
          <w:tcPr>
            <w:tcW w:type="dxa" w:w="1359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4W 전</w:t>
            </w:r>
          </w:p>
        </w:tc>
        <w:tc>
          <w:tcPr>
            <w:tcW w:type="dxa" w:w="1359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Δ4W</w:t>
            </w:r>
          </w:p>
        </w:tc>
        <w:tc>
          <w:tcPr>
            <w:tcW w:type="dxa" w:w="1463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EPS13</w:t>
            </w:r>
          </w:p>
        </w:tc>
        <w:tc>
          <w:tcPr>
            <w:tcW w:type="dxa" w:w="1463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MMT</w:t>
            </w:r>
          </w:p>
        </w:tc>
        <w:tc>
          <w:tcPr>
            <w:tcW w:type="dxa" w:w="1463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breadth13</w:t>
            </w:r>
          </w:p>
        </w:tc>
      </w:tr>
      <w:tr>
        <w:trPr>
          <w:cantSplit/>
        </w:trPr>
        <w:tc>
          <w:tcPr>
            <w:tcW w:type="dxa" w:w="188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Financials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+45%</w:t>
            </w:r>
          </w:p>
        </w:tc>
        <w:tc>
          <w:tcPr>
            <w:tcW w:type="dxa" w:w="135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+30%</w:t>
            </w:r>
          </w:p>
        </w:tc>
        <w:tc>
          <w:tcPr>
            <w:tcW w:type="dxa" w:w="135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+15%p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+7.7%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-1.86%p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+84%</w:t>
            </w:r>
          </w:p>
        </w:tc>
      </w:tr>
      <w:tr>
        <w:trPr>
          <w:cantSplit/>
        </w:trPr>
        <w:tc>
          <w:tcPr>
            <w:tcW w:type="dxa" w:w="1881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Industrials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+33%</w:t>
            </w:r>
          </w:p>
        </w:tc>
        <w:tc>
          <w:tcPr>
            <w:tcW w:type="dxa" w:w="135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+33%</w:t>
            </w:r>
          </w:p>
        </w:tc>
        <w:tc>
          <w:tcPr>
            <w:tcW w:type="dxa" w:w="135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+0%p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+9.3%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+2.25%p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+83%</w:t>
            </w:r>
          </w:p>
        </w:tc>
      </w:tr>
      <w:tr>
        <w:trPr>
          <w:cantSplit/>
        </w:trPr>
        <w:tc>
          <w:tcPr>
            <w:tcW w:type="dxa" w:w="188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IT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+26%</w:t>
            </w:r>
          </w:p>
        </w:tc>
        <w:tc>
          <w:tcPr>
            <w:tcW w:type="dxa" w:w="135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+28%</w:t>
            </w:r>
          </w:p>
        </w:tc>
        <w:tc>
          <w:tcPr>
            <w:tcW w:type="dxa" w:w="135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-2%p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+23.9%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-4.69%p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+73%</w:t>
            </w:r>
          </w:p>
        </w:tc>
      </w:tr>
      <w:tr>
        <w:trPr>
          <w:cantSplit/>
        </w:trPr>
        <w:tc>
          <w:tcPr>
            <w:tcW w:type="dxa" w:w="1881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Energy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+36%</w:t>
            </w:r>
          </w:p>
        </w:tc>
        <w:tc>
          <w:tcPr>
            <w:tcW w:type="dxa" w:w="135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+42%</w:t>
            </w:r>
          </w:p>
        </w:tc>
        <w:tc>
          <w:tcPr>
            <w:tcW w:type="dxa" w:w="135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-6%p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-4.0%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+1.87%p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+38%</w:t>
            </w:r>
          </w:p>
        </w:tc>
      </w:tr>
      <w:tr>
        <w:trPr>
          <w:cantSplit/>
        </w:trPr>
        <w:tc>
          <w:tcPr>
            <w:tcW w:type="dxa" w:w="188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Cons. Disc.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-8%</w:t>
            </w:r>
          </w:p>
        </w:tc>
        <w:tc>
          <w:tcPr>
            <w:tcW w:type="dxa" w:w="135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-5%</w:t>
            </w:r>
          </w:p>
        </w:tc>
        <w:tc>
          <w:tcPr>
            <w:tcW w:type="dxa" w:w="1359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-3%p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-0.5%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+1.51%p</w:t>
            </w:r>
          </w:p>
        </w:tc>
        <w:tc>
          <w:tcPr>
            <w:tcW w:type="dxa" w:w="1463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+61%</w:t>
            </w:r>
          </w:p>
        </w:tc>
      </w:tr>
      <w:tr>
        <w:trPr>
          <w:cantSplit/>
        </w:trPr>
        <w:tc>
          <w:tcPr>
            <w:tcW w:type="dxa" w:w="1881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Comm. Svcs.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-3%</w:t>
            </w:r>
          </w:p>
        </w:tc>
        <w:tc>
          <w:tcPr>
            <w:tcW w:type="dxa" w:w="135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-17%</w:t>
            </w:r>
          </w:p>
        </w:tc>
        <w:tc>
          <w:tcPr>
            <w:tcW w:type="dxa" w:w="1359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+14%p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+5.6%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+2.32%p</w:t>
            </w:r>
          </w:p>
        </w:tc>
        <w:tc>
          <w:tcPr>
            <w:tcW w:type="dxa" w:w="1463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3"/>
                <w:szCs w:val="13"/>
              </w:rPr>
              <w:t xml:space="preserve">+59%</w:t>
            </w:r>
          </w:p>
        </w:tc>
      </w:tr>
    </w:tbl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STOXX600 ERR은 +23%로 4주 전보다 +2%p, 13주 전보다 +17%p 상승했다.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[D2]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금융 +45%, 산업재 +33%, IT +26% 등 8/10개 섹터가 순상향이다. analyst action의 폭은 로테이션 지속을 지지한다.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[D1][D2]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FFF2E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28E2B"/>
                <w:sz w:val="19"/>
                <w:szCs w:val="19"/>
              </w:rPr>
              <w:t xml:space="preserve">해석 규칙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ERR +50은 “전체 분석가의 50%가 상향”이 아니다. 상향·하향 이벤트만 놓고 순상향이 50%p 우세하다는 뜻이다. ERR은 시총가중 EPS 기여도로 합산하지 않는다.</w:t>
            </w:r>
          </w:p>
        </w:tc>
      </w:tr>
    </w:tbl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1B9E77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5. 상승의 질: EPS와 가격 기여도를 따로 본다</w:t>
      </w:r>
    </w:p>
    <w:p>
      <w:pPr>
        <w:keepNext w:val="false"/>
        <w:spacing w:after="50" w:before="0" w:line="270"/>
        <w:jc w:val="center"/>
      </w:pPr>
      <w:r>
        <w:drawing>
          <wp:inline distT="0" distB="0" distL="0" distR="0">
            <wp:extent cx="6096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그림 5A. 현재 섹터 비중×섹터 EPS13. 지수 EPS 변화 규모에 대한 근사 기여도. [D1]</w:t>
      </w:r>
    </w:p>
    <w:p>
      <w:pPr>
        <w:keepNext w:val="false"/>
        <w:spacing w:after="50" w:before="0" w:line="270"/>
        <w:jc w:val="center"/>
      </w:pPr>
      <w:r>
        <w:drawing>
          <wp:inline distT="0" distB="0" distL="0" distR="0">
            <wp:extent cx="6096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그림 5B. 현재 비중×3M 수익률 근사. 공식 성과기여도가 아니며 혼합통화 시총의 한계가 있다.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금융의 3개월 근사 기여도는 +2.88%p로 STOXX600 전체 +4.4%의 약 66%다.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금융·산업재·IT 세 섹터의 합산 비중은 +51.0%, EPS 기여는 +5.44%p로 지수 13주 EPS 변화의 약 81%다.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breadth 72%와 8/10개 섹터의 양의 ERR은 폭이 넓음을 보여준다. 산업재·소재·헬스케어의 EPS 기여가 커지면 금융 의존이 낮아진다.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[D1][D2]</w:t>
      </w:r>
    </w:p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1B9E77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6. PRO 엔진: 금융 현금흐름 + 산업재의 확산</w:t>
      </w:r>
    </w:p>
    <w:p>
      <w:pPr>
        <w:keepNext w:val="false"/>
        <w:spacing w:after="50" w:before="0" w:line="27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그림 6. STOXX600 섹터 12MF blended EPS 13주 변화. [D1]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산업재는 EPS13 +9.3%, ERR +33%, 13주 breadth 83%다. P/E 20.7배는 10년 85백분위다.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[D1][D2]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ING는 2Q26 ROTE 17.0%, 핵심대출 €15.2bn 증가를 발표했고, BBVA는 ROTE 22.2%와 €2bn 자사주 매입, Deutsche Bank는 ROTE 11.0%와 €0.5bn 추가 매입을 발표했다.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[S9][S10][S11]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은행은 단순 금리 수혜가 아니라 대출·수수료·비용통제·자사주 매입의 결합이다. 여기에 독일 재정이 자본재 주문으로 전환되면 지수 이익의 두 번째 축이 생긴다.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[S6][S7][S9]~[S11]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95F5F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금융과 소재의 10년 P/E 백분위는 각각 77%, 84%다. 추가 수익은 멀티플 확장보다 EPS 실현에서 나와야 한다.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[D2]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EAF6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B9E77"/>
                <w:sz w:val="19"/>
                <w:szCs w:val="19"/>
              </w:rPr>
              <w:t xml:space="preserve">핵심 확인 변수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산업재의 EPS MMT가 플러스를 유지하고, 금융의 4주 EPS가 재가속하며, 소비재의 13주 EPS가 플러스로 전환되는지 확인한다.</w:t>
            </w:r>
          </w:p>
        </w:tc>
      </w:tr>
    </w:tbl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1B9E77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7. 지수 투자자 관점의 실행 프레임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EAF6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B9E77"/>
                <w:sz w:val="19"/>
                <w:szCs w:val="19"/>
              </w:rPr>
              <w:t xml:space="preserve">제안: 넓게 사고, 좁게 확인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STOXX600을 코어로 두고, 업종 확산이 실제로 확인될 때 SX5E 또는 경기민감 노출을 추가한다.</w:t>
            </w:r>
          </w:p>
        </w:tc>
      </w:tr>
    </w:tbl>
    <w:p>
      <w:pPr>
        <w:keepNext w:val="false"/>
        <w:spacing w:after="90" w:before="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9"/>
          <w:szCs w:val="19"/>
        </w:rPr>
        <w:t xml:space="preserve"/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2195"/>
        <w:gridCol w:w="3031"/>
        <w:gridCol w:w="5225"/>
      </w:tblGrid>
      <w:tr>
        <w:trPr>
          <w:tblHeader/>
        </w:trPr>
        <w:tc>
          <w:tcPr>
            <w:tcW w:type="dxa" w:w="2195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구간</w:t>
            </w:r>
          </w:p>
        </w:tc>
        <w:tc>
          <w:tcPr>
            <w:tcW w:type="dxa" w:w="3031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현재 판단</w:t>
            </w:r>
          </w:p>
        </w:tc>
        <w:tc>
          <w:tcPr>
            <w:tcW w:type="dxa" w:w="5225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19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Core index</w:t>
            </w:r>
          </w:p>
        </w:tc>
        <w:tc>
          <w:tcPr>
            <w:tcW w:type="dxa" w:w="303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STOXX600 우선</w:t>
            </w:r>
          </w:p>
        </w:tc>
        <w:tc>
          <w:tcPr>
            <w:tcW w:type="dxa" w:w="522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SX5E보다 산업·국가 분산이 넓고 금융 추격 위험이 낮음</w:t>
            </w:r>
          </w:p>
        </w:tc>
      </w:tr>
      <w:tr>
        <w:trPr>
          <w:cantSplit/>
        </w:trPr>
        <w:tc>
          <w:tcPr>
            <w:tcW w:type="dxa" w:w="219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Satellite</w:t>
            </w:r>
          </w:p>
        </w:tc>
        <w:tc>
          <w:tcPr>
            <w:tcW w:type="dxa" w:w="3031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SX5E는 전술적</w:t>
            </w:r>
          </w:p>
        </w:tc>
        <w:tc>
          <w:tcPr>
            <w:tcW w:type="dxa" w:w="522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3M +6.2%, IT 비중 +15.9%; 모멘텀 둔화 점검</w:t>
            </w:r>
          </w:p>
        </w:tc>
      </w:tr>
      <w:tr>
        <w:trPr>
          <w:cantSplit/>
        </w:trPr>
        <w:tc>
          <w:tcPr>
            <w:tcW w:type="dxa" w:w="219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Sector tilt</w:t>
            </w:r>
          </w:p>
        </w:tc>
        <w:tc>
          <w:tcPr>
            <w:tcW w:type="dxa" w:w="303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Industrials + Health 선별</w:t>
            </w:r>
          </w:p>
        </w:tc>
        <w:tc>
          <w:tcPr>
            <w:tcW w:type="dxa" w:w="522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산업재 ERR +33%·MMT 양수 / Health P/E 10Y pct 16</w:t>
            </w:r>
          </w:p>
        </w:tc>
      </w:tr>
      <w:tr>
        <w:trPr>
          <w:cantSplit/>
        </w:trPr>
        <w:tc>
          <w:tcPr>
            <w:tcW w:type="dxa" w:w="219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Financials</w:t>
            </w:r>
          </w:p>
        </w:tc>
        <w:tc>
          <w:tcPr>
            <w:tcW w:type="dxa" w:w="3031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Overweight 유지, 신규 추격 제한</w:t>
            </w:r>
          </w:p>
        </w:tc>
        <w:tc>
          <w:tcPr>
            <w:tcW w:type="dxa" w:w="5225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ERR +45%이나 P/E 10Y pct 77</w:t>
            </w:r>
          </w:p>
        </w:tc>
      </w:tr>
      <w:tr>
        <w:trPr>
          <w:cantSplit/>
        </w:trPr>
        <w:tc>
          <w:tcPr>
            <w:tcW w:type="dxa" w:w="219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Avoid</w:t>
            </w:r>
          </w:p>
        </w:tc>
        <w:tc>
          <w:tcPr>
            <w:tcW w:type="dxa" w:w="303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자동차·유틸리티 일괄매수</w:t>
            </w:r>
          </w:p>
        </w:tc>
        <w:tc>
          <w:tcPr>
            <w:tcW w:type="dxa" w:w="5225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자동차 EPS 약세, 유틸리티 3M -3.1%</w:t>
            </w:r>
          </w:p>
        </w:tc>
      </w:tr>
    </w:tbl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판단은 연구용 상대선호이며 거래지시가 아니다. [D1]</w:t>
      </w:r>
    </w:p>
    <w:p>
      <w:pPr>
        <w:pStyle w:val="Heading2"/>
        <w:keepNext/>
        <w:spacing w:after="9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25"/>
          <w:szCs w:val="25"/>
        </w:rPr>
        <w:t xml:space="preserve">월별 업데이트 규칙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유지: SXXP EPS13 &gt; +5%, breadth13 &gt; 65%, Price3M &gt; 0%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추가: 지수 ERR &gt; +20%, Industrials·Health·Consumer에서 EPS MMT 동시 플러스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축소: 지수 ERR &lt; 0 또는 EPS MMT &lt; -1%p가 2회 지속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중단: ECB 추가 긴축 + BLS 기업수요 음전환 + 미국 기술 재가속이 동시 발생</w:t>
      </w:r>
    </w:p>
    <w:p>
      <w:pPr>
        <w:pStyle w:val="Heading2"/>
        <w:keepNext/>
        <w:spacing w:after="9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25"/>
          <w:szCs w:val="25"/>
        </w:rPr>
        <w:t xml:space="preserve">발표용 한 문장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EAF6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B9E77"/>
                <w:sz w:val="19"/>
                <w:szCs w:val="19"/>
              </w:rPr>
              <w:t xml:space="preserve">[INFERENCE]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유럽은 미국보다 더 성장해서가 아니라, 기대가 낮고 이익 개선의 가격이 아직 덜 비싸기 때문에 살 수 있다.</w:t>
            </w:r>
          </w:p>
        </w:tc>
      </w:tr>
    </w:tbl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1B9E77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8. 반론·리스크·오픈 질문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2926"/>
        <w:gridCol w:w="3031"/>
        <w:gridCol w:w="4494"/>
      </w:tblGrid>
      <w:tr>
        <w:trPr>
          <w:tblHeader/>
        </w:trPr>
        <w:tc>
          <w:tcPr>
            <w:tcW w:type="dxa" w:w="2926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가장 강한 반론</w:t>
            </w:r>
          </w:p>
        </w:tc>
        <w:tc>
          <w:tcPr>
            <w:tcW w:type="dxa" w:w="3031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증거</w:t>
            </w:r>
          </w:p>
        </w:tc>
        <w:tc>
          <w:tcPr>
            <w:tcW w:type="dxa" w:w="4494"/>
            <w:shd w:fill="1B9E77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대응/판정</w:t>
            </w:r>
          </w:p>
        </w:tc>
      </w:tr>
      <w:tr>
        <w:trPr>
          <w:cantSplit/>
        </w:trPr>
        <w:tc>
          <w:tcPr>
            <w:tcW w:type="dxa" w:w="292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미국 EPS가 더 강하다</w:t>
            </w:r>
          </w:p>
        </w:tc>
        <w:tc>
          <w:tcPr>
            <w:tcW w:type="dxa" w:w="303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SPX +9.7%, NDX +12.1% vs SXXP +6.7%</w:t>
            </w:r>
          </w:p>
        </w:tc>
        <w:tc>
          <w:tcPr>
            <w:tcW w:type="dxa" w:w="449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맞다. PRO는 이익 우위가 아니라 가격·밸류에이션 분산 논리다.</w:t>
            </w:r>
          </w:p>
        </w:tc>
      </w:tr>
      <w:tr>
        <w:trPr>
          <w:cantSplit/>
        </w:trPr>
        <w:tc>
          <w:tcPr>
            <w:tcW w:type="dxa" w:w="292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금융이 너무 많이 올랐다</w:t>
            </w:r>
          </w:p>
        </w:tc>
        <w:tc>
          <w:tcPr>
            <w:tcW w:type="dxa" w:w="3031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금융 3M +11.7%, P/E 10Y pct 77</w:t>
            </w:r>
          </w:p>
        </w:tc>
        <w:tc>
          <w:tcPr>
            <w:tcW w:type="dxa" w:w="449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추격을 피하고 산업재·헬스케어 확산을 기다린다.</w:t>
            </w:r>
          </w:p>
        </w:tc>
      </w:tr>
      <w:tr>
        <w:trPr>
          <w:cantSplit/>
        </w:trPr>
        <w:tc>
          <w:tcPr>
            <w:tcW w:type="dxa" w:w="2926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ECB가 다시 긴축했다</w:t>
            </w:r>
          </w:p>
        </w:tc>
        <w:tc>
          <w:tcPr>
            <w:tcW w:type="dxa" w:w="3031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예금금리 2.25%</w:t>
            </w:r>
          </w:p>
        </w:tc>
        <w:tc>
          <w:tcPr>
            <w:tcW w:type="dxa" w:w="4494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추가 인상 없이 에너지 제외 물가 2.2%가 유지돼야 한다.</w:t>
            </w:r>
          </w:p>
        </w:tc>
      </w:tr>
      <w:tr>
        <w:trPr>
          <w:cantSplit/>
        </w:trPr>
        <w:tc>
          <w:tcPr>
            <w:tcW w:type="dxa" w:w="2926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SXXP 가중치가 불완전하다</w:t>
            </w:r>
          </w:p>
        </w:tc>
        <w:tc>
          <w:tcPr>
            <w:tcW w:type="dxa" w:w="3031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혼합 통화 시총</w:t>
            </w:r>
          </w:p>
        </w:tc>
        <w:tc>
          <w:tcPr>
            <w:tcW w:type="dxa" w:w="4494"/>
            <w:shd w:fill="F6F9F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keepNext w:val="false"/>
              <w:spacing w:after="0" w:before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기여도는 방향성 참고로만 쓰고 공식 STOXX 가중치로 재검증한다.</w:t>
            </w:r>
          </w:p>
        </w:tc>
      </w:tr>
    </w:tbl>
    <w:p>
      <w:pPr>
        <w:keepNext w:val="false"/>
        <w:spacing w:after="110" w:before="0" w:line="2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5"/>
          <w:szCs w:val="15"/>
        </w:rPr>
        <w:t xml:space="preserve">의도적으로 자기 논리에 불리한 근거를 포함했다. [D1][S1]~[S12]</w:t>
      </w:r>
    </w:p>
    <w:p>
      <w:pPr>
        <w:pStyle w:val="Heading2"/>
        <w:keepNext/>
        <w:spacing w:after="9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25"/>
          <w:szCs w:val="25"/>
        </w:rPr>
        <w:t xml:space="preserve">Open Questions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67781"/>
          <w:sz w:val="18"/>
          <w:szCs w:val="18"/>
        </w:rPr>
        <w:t xml:space="preserve">[OPEN]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Citi/prime-broker 포지셔닝을 추가해 Europe long의 절대 혼잡도와 지역 자금 유입을 검증해야 한다.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[OPEN-1]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67781"/>
          <w:sz w:val="18"/>
          <w:szCs w:val="18"/>
        </w:rPr>
        <w:t xml:space="preserve">[OPEN]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SXXP 혼합 통화 시총을 EUR 또는 공식 free-float weight로 정규화해 섹터·종목 기여도를 재산출해야 한다.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[OPEN-2]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67781"/>
          <w:sz w:val="18"/>
          <w:szCs w:val="18"/>
        </w:rPr>
        <w:t xml:space="preserve">[OPEN]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12MF blended EPS와 FY2026E analyst-revision 지표가 충돌하는 에너지·기술에 대해 종목별 bridge를 만든다.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[OPEN-3]</w:t>
      </w:r>
    </w:p>
    <w:p>
      <w:pPr>
        <w:keepNext w:val="false"/>
        <w:spacing w:after="105" w:before="0" w:line="26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67781"/>
          <w:sz w:val="18"/>
          <w:szCs w:val="18"/>
        </w:rPr>
        <w:t xml:space="preserve">[OPEN]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Price return에는 배당이 빠져 있다. 금융·에너지 중심의 유럽 지수 비교에서는 total return으로 재검증해야 한다.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6"/>
          <w:szCs w:val="16"/>
        </w:rPr>
        <w:t xml:space="preserve"> [OPEN-4]</w:t>
      </w:r>
    </w:p>
    <w:p>
      <w:pPr>
        <w:pStyle w:val="Heading2"/>
        <w:keepNext/>
        <w:spacing w:after="9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25"/>
          <w:szCs w:val="25"/>
        </w:rPr>
        <w:t xml:space="preserve">최종 판정</w:t>
      </w:r>
    </w:p>
    <w:tbl>
      <w:tblPr>
        <w:tblW w:type="dxa" w:w="10450"/>
        <w:tblBorders>
          <w:top w:val="single" w:color="CBD7DC" w:sz="6"/>
          <w:left w:val="single" w:color="CBD7DC" w:sz="6"/>
          <w:bottom w:val="single" w:color="CBD7DC" w:sz="6"/>
          <w:right w:val="single" w:color="CBD7DC" w:sz="6"/>
          <w:insideH w:val="single" w:color="CBD7DC" w:sz="6"/>
          <w:insideV w:val="single" w:color="CBD7DC" w:sz="6"/>
        </w:tblBorders>
        <w:tblLayout w:type="fixed"/>
      </w:tblPr>
      <w:tblGrid>
        <w:gridCol w:w="10450"/>
      </w:tblGrid>
      <w:tr>
        <w:tc>
          <w:tcPr>
            <w:shd w:fill="EAF6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 w:val="false"/>
              <w:spacing w:after="0" w:before="0" w:line="25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B9E77"/>
                <w:sz w:val="19"/>
                <w:szCs w:val="19"/>
              </w:rPr>
              <w:t xml:space="preserve">PRO — 확신도 6.5/10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증거는 긍정적이나 “금융을 더 사는” 논리가 아니라 “산업재·헬스케어로 넓어지는지 확인하는” 논리다.</w:t>
            </w:r>
          </w:p>
        </w:tc>
      </w:tr>
    </w:tbl>
    <w:p>
      <w:pPr>
        <w:keepNext w:val="false"/>
        <w:spacing w:after="0" w:before="0" w:line="270"/>
        <w:jc w:val="left"/>
      </w:pPr>
      <w:r>
        <w:br w:type="page"/>
      </w:r>
    </w:p>
    <w:p>
      <w:pPr>
        <w:pStyle w:val="Heading1"/>
        <w:keepNext/>
        <w:pBdr>
          <w:bottom w:val="single" w:color="1B9E77" w:sz="14" w:space="5"/>
        </w:pBdr>
        <w:spacing w:after="16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73B4C"/>
          <w:sz w:val="34"/>
          <w:szCs w:val="34"/>
        </w:rPr>
        <w:t xml:space="preserve">9. 방법론·출처</w:t>
      </w:r>
    </w:p>
    <w:p>
      <w:pPr>
        <w:pStyle w:val="Heading2"/>
        <w:keepNext/>
        <w:spacing w:after="9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25"/>
          <w:szCs w:val="25"/>
        </w:rPr>
        <w:t xml:space="preserve">계산 방법과 한계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[FACT] 12MF EPS change: 종목별 blended forward EPS의 4주·13주 변화율을 현재 시총으로 가중. 종목별 변화는 ±100%로 winsorize.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[FACT] EPS MMT = 4W change − (4/13 × 13W change). 양수는 최근 속도 가속, 음수는 감속.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[FACT] Actual ERR = (상향 revision 수 − 하향 revision 수) / (상향 + 하향) × 100. 이벤트 방향의 순균형이며 EPS 변화율·breadth와 다르다.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[FACT] EPS contribution = 현재 섹터 시총비중 × 섹터 EPS13. 섹터 ERR에는 시총을 곱하지 않는다.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[FACT] P/E: 종목 P/E를 단순 가중평균하지 않고 earnings yield(1/P/E)로 변환해 집계. P/E&lt;1x는 데이터 이상치로 제외.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[FACT] 장기 P/E: 별도 STOXX600 및 섹터 주간 12MF P/E 시계열에서 trailing 10년 평균·표준편차·백분위를 계산. 히스토리는 최대 15년.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[FACT] Price return: 종목 가격 변화의 기초일 시총가중. 배당 제외.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[RISK] 현재 구성종목 스냅샷을 과거에 적용해 생존편향이 있고, SXXP는 혼합 통화 시총 때문에 가중치가 근사치다.</w:t>
      </w:r>
    </w:p>
    <w:p>
      <w:pPr>
        <w:pStyle w:val="ListParagraph"/>
        <w:numPr>
          <w:ilvl w:val="0"/>
          <w:numId w:val="1"/>
        </w:numPr>
        <w:spacing w:after="80" w:line="250"/>
        <w:ind w:left="300" w:hanging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8"/>
          <w:szCs w:val="18"/>
        </w:rPr>
        <w:t xml:space="preserve">[RISK] Consumer Staples와 Consumer Discretionary의 외부 P/E 데이터는 2020-09 이후만 가용하므로 10Y 표기와 달리 실제 표본은 약 6년이다.</w:t>
      </w:r>
    </w:p>
    <w:p>
      <w:pPr>
        <w:pStyle w:val="Heading2"/>
        <w:keepNext/>
        <w:spacing w:after="9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25"/>
          <w:szCs w:val="25"/>
        </w:rPr>
        <w:t xml:space="preserve">데이터 및 공식 출처</w:t>
      </w:r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[D1]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5"/>
          <w:szCs w:val="15"/>
        </w:rPr>
        <w:t xml:space="preserve">Bloomberg BQL constituent raw files and author calculations, 2025-06-01~2026-08-21</w:t>
      </w:r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[D2]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5"/>
          <w:szCs w:val="15"/>
        </w:rPr>
        <w:t xml:space="preserve">Dashboard_Global Equity_2606 (1).xlsx — STOXX600 actual ERR and weekly 12MF P/E history, through 2026-08-21</w:t>
      </w:r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[D3]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3238"/>
          <w:sz w:val="15"/>
          <w:szCs w:val="15"/>
        </w:rPr>
        <w:t xml:space="preserve">Global Equity Rotation Monitor — 17-index interactive dashboard</w:t>
      </w:r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[S1] </w:t>
      </w:r>
      <w:hyperlink w:history="1" r:id="rIdz5001gotq1righeevdcsk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Eurostat — GDP up by 0.4% and employment up by 0.1% in the euro area, 14 Aug 2026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[S2] </w:t>
      </w:r>
      <w:hyperlink w:history="1" r:id="rIdyrvybahlqjakca4frybhe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Eurostat — Annual inflation up to 2.9% in the euro area, 19 Aug 2026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[S3] </w:t>
      </w:r>
      <w:hyperlink w:history="1" r:id="rIdiuuda7gbgz2dy1cr022ss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ECB — Monetary policy decisions, 11 Jun 2026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[S4] </w:t>
      </w:r>
      <w:hyperlink w:history="1" r:id="rId6dskh9gskvgglxykl1h7j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ECB — Eurosystem staff macroeconomic projections, Jun 2026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[S5] </w:t>
      </w:r>
      <w:hyperlink w:history="1" r:id="rIdyypcqbcgsydfada7nhv96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ECB — July 2026 euro area bank lending survey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[S6] </w:t>
      </w:r>
      <w:hyperlink w:history="1" r:id="rIdozgolfezpern40ndepwdc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German Federal Ministry of Finance — 2026 federal budget and fiscal plan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[S7] </w:t>
      </w:r>
      <w:hyperlink w:history="1" r:id="rIdhbicwit9a5tp86wcysois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German Federal Ministry of Finance — 2027 federal budget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[S8] </w:t>
      </w:r>
      <w:hyperlink w:history="1" r:id="rIdu3myylaqrelb8kmk0ow5r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STOXX — STOXX Europe 600 index overview and methodology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[S9] </w:t>
      </w:r>
      <w:hyperlink w:history="1" r:id="rIdftocemsbollrtuxniyois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ING — 2Q2026 results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[S10] </w:t>
      </w:r>
      <w:hyperlink w:history="1" r:id="rIdyw1zgbdiivlhlny3tbwgz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BBVA — 2Q2026 results and €2bn buyback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[S11] </w:t>
      </w:r>
      <w:hyperlink w:history="1" r:id="rIdop99lfiry8l1fl_m5sjpt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Deutsche Bank — Second-quarter 2026 results</w:t>
        </w:r>
      </w:hyperlink>
    </w:p>
    <w:p>
      <w:pPr>
        <w:keepNext w:val="false"/>
        <w:spacing w:after="55" w:before="0" w:line="2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18AB2"/>
          <w:sz w:val="15"/>
          <w:szCs w:val="15"/>
        </w:rPr>
        <w:t xml:space="preserve">[S12] </w:t>
      </w:r>
      <w:hyperlink w:history="1" r:id="rIdtckgn4vbdrr8fbl4gnoat">
        <w:r>
          <w:rPr>
            <w:rStyle w:val="Hyperlink"/>
            <w:rFonts w:ascii="Malgun Gothic" w:cs="Malgun Gothic" w:eastAsia="Malgun Gothic" w:hAnsi="Malgun Gothic"/>
            <w:sz w:val="15"/>
            <w:szCs w:val="15"/>
          </w:rPr>
          <w:t xml:space="preserve">Reuters — European diversification away from AI stocks (via Investing.com)</w:t>
        </w:r>
      </w:hyperlink>
    </w:p>
    <w:p>
      <w:pPr>
        <w:pStyle w:val="Heading2"/>
        <w:keepNext/>
        <w:spacing w:after="9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9E77"/>
          <w:sz w:val="25"/>
          <w:szCs w:val="25"/>
        </w:rPr>
        <w:t xml:space="preserve">기존 참고 보고서</w:t>
      </w:r>
    </w:p>
    <w:p>
      <w:pPr>
        <w:keepNext w:val="false"/>
        <w:spacing w:after="100" w:before="0" w:line="2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4"/>
          <w:szCs w:val="14"/>
        </w:rPr>
        <w:t xml:space="preserve">[R1] Goldman Sachs, Strategy Espresso: Europe — The secret outperformer, 2026-08-11  ·  [R2] BofA, European Equity Strategy, 2026-08-21  ·  [R3] J.P. Morgan, Euro area bank lending, 2026-07-21</w:t>
      </w:r>
    </w:p>
    <w:p>
      <w:pPr>
        <w:keepNext w:val="false"/>
        <w:spacing w:after="0" w:before="90" w:line="27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781"/>
          <w:sz w:val="14"/>
          <w:szCs w:val="14"/>
        </w:rPr>
        <w:t xml:space="preserve">접속일: 2026-08-25. 보고서 내 [FACT]/[INFERENCE]/[RISK]/[OPEN] 표기는 사실·해석·위험·미확인 과제를 구분한다.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320" w:footer="3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tabs>
        <w:tab w:val="right" w:pos="9026"/>
      </w:tabs>
      <w:spacing w:after="0" w:before="0" w:line="270"/>
      <w:jc w:val="lef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7781"/>
        <w:sz w:val="13"/>
        <w:szCs w:val="13"/>
      </w:rPr>
      <w:t xml:space="preserve">Bloomberg BQL · as of 2026-08-21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263238"/>
        <w:sz w:val="13"/>
        <w:szCs w:val="13"/>
      </w:rPr>
      <w:t xml:space="preserve">	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7781"/>
        <w:sz w:val="13"/>
        <w:szCs w:val="13"/>
      </w:rPr>
      <w:t xml:space="preserve">Page </w:t>
    </w:r>
    <w:r>
      <w:rPr>
        <w:color w:val="667781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pBdr>
        <w:bottom w:val="single" w:color="CBD7DC" w:sz="6" w:space="4"/>
      </w:pBdr>
      <w:tabs>
        <w:tab w:val="right" w:pos="9026"/>
      </w:tabs>
      <w:spacing w:after="0" w:before="0" w:line="270"/>
      <w:jc w:val="left"/>
    </w:pPr>
    <w:r>
      <w:rPr>
        <w:rFonts w:ascii="Malgun Gothic" w:cs="Malgun Gothic" w:eastAsia="Malgun Gothic" w:hAnsi="Malgun Gothic"/>
        <w:b/>
        <w:bCs/>
        <w:i w:val="false"/>
        <w:iCs w:val="false"/>
        <w:color w:val="073B4C"/>
        <w:sz w:val="15"/>
        <w:szCs w:val="15"/>
      </w:rPr>
      <w:t xml:space="preserve">STOXX Europe 600</w:t>
    </w:r>
    <w:r>
      <w:rPr>
        <w:rFonts w:ascii="Malgun Gothic" w:cs="Malgun Gothic" w:eastAsia="Malgun Gothic" w:hAnsi="Malgun Gothic"/>
        <w:b/>
        <w:bCs/>
        <w:i w:val="false"/>
        <w:iCs w:val="false"/>
        <w:color w:val="1B9E77"/>
        <w:sz w:val="15"/>
        <w:szCs w:val="15"/>
      </w:rPr>
      <w:t xml:space="preserve">   PRO CASE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63238"/>
        <w:sz w:val="19"/>
        <w:szCs w:val="19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Malgun Gothic" w:cs="Malgun Gothic" w:eastAsia="Malgun Gothic" w:hAnsi="Malgun Gothic"/>
      <w:b/>
      <w:bCs/>
      <w:color w:val="073B4C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180"/>
    </w:pPr>
    <w:rPr>
      <w:rFonts w:ascii="Malgun Gothic" w:cs="Malgun Gothic" w:eastAsia="Malgun Gothic" w:hAnsi="Malgun Gothic"/>
      <w:b/>
      <w:bCs/>
      <w:color w:val="073B4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40"/>
    </w:pPr>
    <w:rPr>
      <w:rFonts w:ascii="Malgun Gothic" w:cs="Malgun Gothic" w:eastAsia="Malgun Gothic" w:hAnsi="Malgun Gothic"/>
      <w:b/>
      <w:bCs/>
      <w:color w:val="1B9E77"/>
      <w:sz w:val="25"/>
      <w:szCs w:val="25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5001gotq1righeevdcsk" Type="http://schemas.openxmlformats.org/officeDocument/2006/relationships/hyperlink" Target="https://ec.europa.eu/eurostat/en/web/products-euro-indicators/w/2-14082026-ap" TargetMode="External"/><Relationship Id="rIdyrvybahlqjakca4frybhe" Type="http://schemas.openxmlformats.org/officeDocument/2006/relationships/hyperlink" Target="https://ec.europa.eu/eurostat/en/web/products-euro-indicators/w/2-19082026-ap" TargetMode="External"/><Relationship Id="rIdiuuda7gbgz2dy1cr022ss" Type="http://schemas.openxmlformats.org/officeDocument/2006/relationships/hyperlink" Target="https://www.ecb.europa.eu/press/pr/date/2026/html/ecb.mp260611~4d41bd5e83.en.html" TargetMode="External"/><Relationship Id="rId6dskh9gskvgglxykl1h7j" Type="http://schemas.openxmlformats.org/officeDocument/2006/relationships/hyperlink" Target="https://www.ecb.europa.eu/press/projections/html/ecb.projections202606_eurosystemstaff~a495110f8d.en.html" TargetMode="External"/><Relationship Id="rIdyypcqbcgsydfada7nhv96" Type="http://schemas.openxmlformats.org/officeDocument/2006/relationships/hyperlink" Target="https://www.ecb.europa.eu/press/pr/date/2026/html/ecb.pr260721~44ee50f75c.en.html" TargetMode="External"/><Relationship Id="rIdozgolfezpern40ndepwdc" Type="http://schemas.openxmlformats.org/officeDocument/2006/relationships/hyperlink" Target="https://www.bundesfinanzministerium.de/Content/EN/Pressemitteilungen/2025/2025-07-30-government-draft-2026-federal-budget.html" TargetMode="External"/><Relationship Id="rIdhbicwit9a5tp86wcysois" Type="http://schemas.openxmlformats.org/officeDocument/2006/relationships/hyperlink" Target="https://www.bundesfinanzministerium.de/Content/EN/Pressemitteilungen/2026/2026-07-06-government-draft-2027-federal-budget.html" TargetMode="External"/><Relationship Id="rIdu3myylaqrelb8kmk0ow5r" Type="http://schemas.openxmlformats.org/officeDocument/2006/relationships/hyperlink" Target="https://www.stoxx.com/index-details.html?symbol=SXXP" TargetMode="External"/><Relationship Id="rIdftocemsbollrtuxniyois" Type="http://schemas.openxmlformats.org/officeDocument/2006/relationships/hyperlink" Target="https://ing.com/news/press-releases/2q2026-ing-press-release.html" TargetMode="External"/><Relationship Id="rIdyw1zgbdiivlhlny3tbwgz" Type="http://schemas.openxmlformats.org/officeDocument/2006/relationships/hyperlink" Target="https://www.bbva.com/en/economy-and-finance/earnings-2q2026/" TargetMode="External"/><Relationship Id="rIdop99lfiry8l1fl_m5sjpt" Type="http://schemas.openxmlformats.org/officeDocument/2006/relationships/hyperlink" Target="https://www.db.com/news/detail/20260729-deutsche-bank-reports-second-quarter-2026-results?language_id=1" TargetMode="External"/><Relationship Id="rIdtckgn4vbdrr8fbl4gnoat" Type="http://schemas.openxmlformats.org/officeDocument/2006/relationships/hyperlink" Target="https://www.investing.com/news/stock-market-news/european-shares-flat-but-set-for-weekly-loss-as-iran-tensions-lift-oil-4859863" TargetMode="External"/><Relationship Id="rId9" Type="http://schemas.openxmlformats.org/officeDocument/2006/relationships/image" Target="media/57e4cc9ce30ee2b62a6fcefeb9bdf63391e88156.png"/><Relationship Id="rId10" Type="http://schemas.openxmlformats.org/officeDocument/2006/relationships/image" Target="media/17ca747374c2191b4f52efec11268c5c757056a7.png"/><Relationship Id="rId11" Type="http://schemas.openxmlformats.org/officeDocument/2006/relationships/image" Target="media/30d4c98ce2e851b12ba3d792492fa784a9c1d8b0.png"/><Relationship Id="rId12" Type="http://schemas.openxmlformats.org/officeDocument/2006/relationships/image" Target="media/509f0592331c220bf9323c46f1646622e6c1bfc5.png"/><Relationship Id="rId13" Type="http://schemas.openxmlformats.org/officeDocument/2006/relationships/image" Target="media/14e6d24069b09a3d2ca1f60740ba5669fb8dcedb.png"/><Relationship Id="rId14" Type="http://schemas.openxmlformats.org/officeDocument/2006/relationships/image" Target="media/46facd50f52638a10a1797edaef1a7ece2ab8ccc.png"/><Relationship Id="rId15" Type="http://schemas.openxmlformats.org/officeDocument/2006/relationships/image" Target="media/6ab0193d41620911e950f560a5463a30793c9c1e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STOXX Europe 600 PRO Case</dc:title>
  <dc:subject>Europe equity rotation</dc:subject>
  <dc:creator>OpenAI Codex</dc:creator>
  <dc:description>Bloomberg BQL data-driven European equity rotation report</dc:description>
  <cp:lastModifiedBy>Un-named</cp:lastModifiedBy>
  <cp:revision>1</cp:revision>
  <dcterms:created xsi:type="dcterms:W3CDTF">2026-08-25T07:35:16.419Z</dcterms:created>
  <dcterms:modified xsi:type="dcterms:W3CDTF">2026-08-25T07:35:16.423Z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