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30" w:before="1420"/>
        <w:jc w:val="center"/>
      </w:pPr>
      <w:r>
        <w:rPr>
          <w:rFonts w:ascii="Malgun Gothic" w:cs="Malgun Gothic" w:eastAsia="Malgun Gothic" w:hAnsi="Malgun Gothic"/>
          <w:b/>
          <w:bCs/>
          <w:i w:val="false"/>
          <w:iCs w:val="false"/>
          <w:color w:val="17365D"/>
          <w:sz w:val="40"/>
          <w:szCs w:val="40"/>
        </w:rPr>
        <w:t xml:space="preserve">TOPIX 섹터와 산업</w:t>
      </w:r>
    </w:p>
    <w:p>
      <w:pPr>
        <w:spacing w:after="210"/>
        <w:jc w:val="center"/>
      </w:pPr>
      <w:r>
        <w:rPr>
          <w:rFonts w:ascii="Malgun Gothic" w:cs="Malgun Gothic" w:eastAsia="Malgun Gothic" w:hAnsi="Malgun Gothic"/>
          <w:b/>
          <w:bCs/>
          <w:i w:val="false"/>
          <w:iCs w:val="false"/>
          <w:color w:val="2F75B5"/>
          <w:sz w:val="28"/>
          <w:szCs w:val="28"/>
        </w:rPr>
        <w:t xml:space="preserve">최근 5거래일 로테이션과 내부 확산</w:t>
      </w:r>
    </w:p>
    <w:p>
      <w:pPr>
        <w:keepNext w:val="false"/>
        <w:spacing w:after="105" w:before="0" w:line="286"/>
        <w:jc w:val="center"/>
      </w:pPr>
      <w:r>
        <w:rPr>
          <w:rFonts w:ascii="Malgun Gothic" w:cs="Malgun Gothic" w:eastAsia="Malgun Gothic" w:hAnsi="Malgun Gothic"/>
          <w:b w:val="false"/>
          <w:bCs w:val="false"/>
          <w:i w:val="false"/>
          <w:iCs w:val="false"/>
          <w:color w:val="666666"/>
          <w:sz w:val="19"/>
          <w:szCs w:val="19"/>
        </w:rPr>
        <w:t xml:space="preserve">2026-08-14~2026-08-21 · 1,636개 원천 기준 구성종목 · 11개 GICS 섹터</w:t>
      </w:r>
    </w:p>
    <w:p>
      <w:pPr>
        <w:keepNext w:val="false"/>
        <w:spacing w:after="105" w:before="90" w:line="286"/>
        <w:jc w:val="center"/>
      </w:pPr>
      <w:r>
        <w:rPr>
          <w:rFonts w:ascii="Malgun Gothic" w:cs="Malgun Gothic" w:eastAsia="Malgun Gothic" w:hAnsi="Malgun Gothic"/>
          <w:b w:val="false"/>
          <w:bCs w:val="false"/>
          <w:i w:val="false"/>
          <w:iCs w:val="false"/>
          <w:color w:val="666666"/>
          <w:sz w:val="17"/>
          <w:szCs w:val="17"/>
        </w:rPr>
        <w:t xml:space="preserve">섹터 성과 · 산업그룹 리더십 · 섹터별 상승·하락 종목</w:t>
      </w:r>
    </w:p>
    <w:p>
      <w:r>
        <w:br w:type="page"/>
      </w:r>
    </w:p>
    <w:p>
      <w:pPr>
        <w:pStyle w:val="Heading1"/>
        <w:keepNext/>
        <w:spacing w:after="100" w:before="220"/>
      </w:pPr>
      <w:r>
        <w:t xml:space="preserve">Executive Summary</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리더십  </w:t>
      </w:r>
      <w:r>
        <w:rPr>
          <w:rFonts w:ascii="Malgun Gothic" w:cs="Malgun Gothic" w:eastAsia="Malgun Gothic" w:hAnsi="Malgun Gothic"/>
          <w:b w:val="false"/>
          <w:bCs w:val="false"/>
          <w:i w:val="false"/>
          <w:iCs w:val="false"/>
          <w:color w:val="111111"/>
          <w:sz w:val="19"/>
          <w:szCs w:val="19"/>
        </w:rPr>
        <w:t xml:space="preserve">최근 5거래일 상위 섹터는 Utilities +3.7%, Energy +2.0%, Communication Services +1.7%다. 하위는 Information Technology -3.3%, Materials -1.5%, Financials -1.2%다.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시장 폭  </w:t>
      </w:r>
      <w:r>
        <w:rPr>
          <w:rFonts w:ascii="Malgun Gothic" w:cs="Malgun Gothic" w:eastAsia="Malgun Gothic" w:hAnsi="Malgun Gothic"/>
          <w:b w:val="false"/>
          <w:bCs w:val="false"/>
          <w:i w:val="false"/>
          <w:iCs w:val="false"/>
          <w:color w:val="111111"/>
          <w:sz w:val="19"/>
          <w:szCs w:val="19"/>
        </w:rPr>
        <w:t xml:space="preserve">전체 종목 동일가중 수익률은 -0.7%, 상승 종목 비율은 49%다. 11개 섹터 중 7개가 상승했고, 7개는 상승 종목이 과반이었다.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회전  </w:t>
      </w:r>
      <w:r>
        <w:rPr>
          <w:rFonts w:ascii="Malgun Gothic" w:cs="Malgun Gothic" w:eastAsia="Malgun Gothic" w:hAnsi="Malgun Gothic"/>
          <w:b w:val="false"/>
          <w:bCs w:val="false"/>
          <w:i w:val="false"/>
          <w:iCs w:val="false"/>
          <w:color w:val="111111"/>
          <w:sz w:val="19"/>
          <w:szCs w:val="19"/>
        </w:rPr>
        <w:t xml:space="preserve">산업그룹 상위는 Utilities +3.7%, Media &amp; Entertainment +2.0%, Energy +2.0%다. 하위는 Semiconductors &amp; Semiconductor Equipment -7.5%, Technology Hardware &amp; Equipment -5.5%, Banks -2.7%다.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종목 선택  </w:t>
      </w:r>
      <w:r>
        <w:rPr>
          <w:rFonts w:ascii="Malgun Gothic" w:cs="Malgun Gothic" w:eastAsia="Malgun Gothic" w:hAnsi="Malgun Gothic"/>
          <w:b w:val="false"/>
          <w:bCs w:val="false"/>
          <w:i w:val="false"/>
          <w:iCs w:val="false"/>
          <w:color w:val="111111"/>
          <w:sz w:val="19"/>
          <w:szCs w:val="19"/>
        </w:rPr>
        <w:t xml:space="preserve">Information Technology의 5거래일 종목 수익률 분산이 +5.5%로 가장 컸다. 같은 섹터 안에서도 산업과 종목 선택의 영향이 상대적으로 큰 구간이다.</w:t>
      </w:r>
    </w:p>
    <w:p>
      <w:pPr>
        <w:pBdr>
          <w:left w:val="single" w:color="2F75B5" w:sz="18"/>
        </w:pBdr>
        <w:shd w:fill="EAF2F8" w:val="clear"/>
        <w:spacing w:after="130" w:before="90" w:line="286"/>
        <w:ind w:left="150" w:right="90"/>
      </w:pPr>
      <w:r>
        <w:rPr>
          <w:rFonts w:ascii="Malgun Gothic" w:cs="Malgun Gothic" w:eastAsia="Malgun Gothic" w:hAnsi="Malgun Gothic"/>
          <w:b/>
          <w:bCs/>
          <w:i w:val="false"/>
          <w:iCs w:val="false"/>
          <w:color w:val="2F75B5"/>
          <w:sz w:val="19"/>
          <w:szCs w:val="19"/>
        </w:rPr>
        <w:t xml:space="preserve">발표 핵심  </w:t>
      </w:r>
      <w:r>
        <w:rPr>
          <w:rFonts w:ascii="Malgun Gothic" w:cs="Malgun Gothic" w:eastAsia="Malgun Gothic" w:hAnsi="Malgun Gothic"/>
          <w:b w:val="false"/>
          <w:bCs w:val="false"/>
          <w:i w:val="false"/>
          <w:iCs w:val="false"/>
          <w:color w:val="111111"/>
          <w:sz w:val="19"/>
          <w:szCs w:val="19"/>
        </w:rPr>
        <w:t xml:space="preserve">Utilities의 강세가 100% breadth로 뒷받침되는지, Information Technology의 약세가 특정 산업그룹에 집중됐는지를 먼저 확인한다.</w:t>
      </w:r>
    </w:p>
    <w:p>
      <w:pPr>
        <w:pStyle w:val="Heading1"/>
        <w:keepNext/>
        <w:spacing w:after="100" w:before="220"/>
      </w:pPr>
      <w:r>
        <w:t xml:space="preserve">전체 섹터 성과표</w:t>
      </w:r>
    </w:p>
    <w:tbl>
      <w:tblPr>
        <w:tblW w:type="dxa" w:w="9100"/>
        <w:tblBorders>
          <w:top w:val="single" w:color="B4C7DC" w:sz="4"/>
          <w:left w:val="single" w:color="B4C7DC" w:sz="4"/>
          <w:bottom w:val="single" w:color="B4C7DC" w:sz="4"/>
          <w:right w:val="single" w:color="B4C7DC" w:sz="4"/>
          <w:insideH w:val="single" w:color="D9D9D9" w:sz="2"/>
          <w:insideV w:val="single" w:color="D9D9D9" w:sz="2"/>
        </w:tblBorders>
      </w:tblPr>
      <w:tblGrid>
        <w:gridCol w:w="2100"/>
        <w:gridCol w:w="600"/>
        <w:gridCol w:w="700"/>
        <w:gridCol w:w="920"/>
        <w:gridCol w:w="920"/>
        <w:gridCol w:w="920"/>
        <w:gridCol w:w="920"/>
        <w:gridCol w:w="920"/>
        <w:gridCol w:w="1100"/>
      </w:tblGrid>
      <w:tr>
        <w:trPr>
          <w:cantSplit/>
          <w:tblHeader/>
        </w:trPr>
        <w:tc>
          <w:tcPr>
            <w:tcW w:type="dxa" w:w="21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4"/>
                <w:szCs w:val="14"/>
              </w:rPr>
              <w:t xml:space="preserve">섹터</w:t>
            </w:r>
          </w:p>
        </w:tc>
        <w:tc>
          <w:tcPr>
            <w:tcW w:type="dxa" w:w="6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4"/>
                <w:szCs w:val="14"/>
              </w:rPr>
              <w:t xml:space="preserve">N</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4"/>
                <w:szCs w:val="14"/>
              </w:rPr>
              <w:t xml:space="preserve">산업그룹</w:t>
            </w:r>
          </w:p>
        </w:tc>
        <w:tc>
          <w:tcPr>
            <w:tcW w:type="dxa" w:w="92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4"/>
                <w:szCs w:val="14"/>
              </w:rPr>
              <w:t xml:space="preserve">5D 평균</w:t>
            </w:r>
          </w:p>
        </w:tc>
        <w:tc>
          <w:tcPr>
            <w:tcW w:type="dxa" w:w="92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4"/>
                <w:szCs w:val="14"/>
              </w:rPr>
              <w:t xml:space="preserve">중앙값</w:t>
            </w:r>
          </w:p>
        </w:tc>
        <w:tc>
          <w:tcPr>
            <w:tcW w:type="dxa" w:w="92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4"/>
                <w:szCs w:val="14"/>
              </w:rPr>
              <w:t xml:space="preserve">상승 비율</w:t>
            </w:r>
          </w:p>
        </w:tc>
        <w:tc>
          <w:tcPr>
            <w:tcW w:type="dxa" w:w="92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4"/>
                <w:szCs w:val="14"/>
              </w:rPr>
              <w:t xml:space="preserve">분산</w:t>
            </w:r>
          </w:p>
        </w:tc>
        <w:tc>
          <w:tcPr>
            <w:tcW w:type="dxa" w:w="92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4"/>
                <w:szCs w:val="14"/>
              </w:rPr>
              <w:t xml:space="preserve">시장 대비</w:t>
            </w:r>
          </w:p>
        </w:tc>
        <w:tc>
          <w:tcPr>
            <w:tcW w:type="dxa" w:w="11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4"/>
                <w:szCs w:val="14"/>
              </w:rPr>
              <w:t xml:space="preserve">판정</w:t>
            </w:r>
          </w:p>
        </w:tc>
      </w:tr>
      <w:tr>
        <w:trPr>
          <w:cantSplit/>
        </w:trPr>
        <w:tc>
          <w:tcPr>
            <w:tcW w:type="dxa" w:w="21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5"/>
                <w:szCs w:val="15"/>
              </w:rPr>
              <w:t xml:space="preserve">Utilities</w:t>
            </w:r>
          </w:p>
        </w:tc>
        <w:tc>
          <w:tcPr>
            <w:tcW w:type="dxa" w:w="6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23</w:t>
            </w:r>
          </w:p>
        </w:tc>
        <w:tc>
          <w:tcPr>
            <w:tcW w:type="dxa" w:w="7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1</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5"/>
                <w:szCs w:val="15"/>
              </w:rPr>
              <w:t xml:space="preserve">+3.7%</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+3.1%</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100%</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+1.9%</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+4.3%p</w:t>
            </w:r>
          </w:p>
        </w:tc>
        <w:tc>
          <w:tcPr>
            <w:tcW w:type="dxa" w:w="11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4"/>
                <w:szCs w:val="14"/>
              </w:rPr>
              <w:t xml:space="preserve">강세 확산</w:t>
            </w:r>
          </w:p>
        </w:tc>
      </w:tr>
      <w:tr>
        <w:trPr>
          <w:cantSplit/>
        </w:trPr>
        <w:tc>
          <w:tcPr>
            <w:tcW w:type="dxa" w:w="21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5"/>
                <w:szCs w:val="15"/>
              </w:rPr>
              <w:t xml:space="preserve">Energy</w:t>
            </w:r>
          </w:p>
        </w:tc>
        <w:tc>
          <w:tcPr>
            <w:tcW w:type="dxa" w:w="6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14</w:t>
            </w:r>
          </w:p>
        </w:tc>
        <w:tc>
          <w:tcPr>
            <w:tcW w:type="dxa" w:w="7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1</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5"/>
                <w:szCs w:val="15"/>
              </w:rPr>
              <w:t xml:space="preserve">+2.0%</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+2.9%</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71%</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+4.4%</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+2.6%p</w:t>
            </w:r>
          </w:p>
        </w:tc>
        <w:tc>
          <w:tcPr>
            <w:tcW w:type="dxa" w:w="11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4"/>
                <w:szCs w:val="14"/>
              </w:rPr>
              <w:t xml:space="preserve">강세 확산</w:t>
            </w:r>
          </w:p>
        </w:tc>
      </w:tr>
      <w:tr>
        <w:trPr>
          <w:cantSplit/>
        </w:trPr>
        <w:tc>
          <w:tcPr>
            <w:tcW w:type="dxa" w:w="21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5"/>
                <w:szCs w:val="15"/>
              </w:rPr>
              <w:t xml:space="preserve">Communication Services</w:t>
            </w:r>
          </w:p>
        </w:tc>
        <w:tc>
          <w:tcPr>
            <w:tcW w:type="dxa" w:w="6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77</w:t>
            </w:r>
          </w:p>
        </w:tc>
        <w:tc>
          <w:tcPr>
            <w:tcW w:type="dxa" w:w="7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2</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5"/>
                <w:szCs w:val="15"/>
              </w:rPr>
              <w:t xml:space="preserve">+1.7%</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+0.8%</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73%</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+4.5%</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+2.4%p</w:t>
            </w:r>
          </w:p>
        </w:tc>
        <w:tc>
          <w:tcPr>
            <w:tcW w:type="dxa" w:w="11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4"/>
                <w:szCs w:val="14"/>
              </w:rPr>
              <w:t xml:space="preserve">강세 확산</w:t>
            </w:r>
          </w:p>
        </w:tc>
      </w:tr>
      <w:tr>
        <w:trPr>
          <w:cantSplit/>
        </w:trPr>
        <w:tc>
          <w:tcPr>
            <w:tcW w:type="dxa" w:w="21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5"/>
                <w:szCs w:val="15"/>
              </w:rPr>
              <w:t xml:space="preserve">Real Estate</w:t>
            </w:r>
          </w:p>
        </w:tc>
        <w:tc>
          <w:tcPr>
            <w:tcW w:type="dxa" w:w="6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37</w:t>
            </w:r>
          </w:p>
        </w:tc>
        <w:tc>
          <w:tcPr>
            <w:tcW w:type="dxa" w:w="7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1</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5"/>
                <w:szCs w:val="15"/>
              </w:rPr>
              <w:t xml:space="preserve">+1.1%</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+1.4%</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81%</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+3.3%</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+1.8%p</w:t>
            </w:r>
          </w:p>
        </w:tc>
        <w:tc>
          <w:tcPr>
            <w:tcW w:type="dxa" w:w="11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4"/>
                <w:szCs w:val="14"/>
              </w:rPr>
              <w:t xml:space="preserve">강세 확산</w:t>
            </w:r>
          </w:p>
        </w:tc>
      </w:tr>
      <w:tr>
        <w:trPr>
          <w:cantSplit/>
        </w:trPr>
        <w:tc>
          <w:tcPr>
            <w:tcW w:type="dxa" w:w="21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5"/>
                <w:szCs w:val="15"/>
              </w:rPr>
              <w:t xml:space="preserve">Consumer Staples</w:t>
            </w:r>
          </w:p>
        </w:tc>
        <w:tc>
          <w:tcPr>
            <w:tcW w:type="dxa" w:w="6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143</w:t>
            </w:r>
          </w:p>
        </w:tc>
        <w:tc>
          <w:tcPr>
            <w:tcW w:type="dxa" w:w="7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3</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5"/>
                <w:szCs w:val="15"/>
              </w:rPr>
              <w:t xml:space="preserve">+1.1%</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+1.2%</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72%</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+2.3%</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+1.7%p</w:t>
            </w:r>
          </w:p>
        </w:tc>
        <w:tc>
          <w:tcPr>
            <w:tcW w:type="dxa" w:w="11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4"/>
                <w:szCs w:val="14"/>
              </w:rPr>
              <w:t xml:space="preserve">강세 확산</w:t>
            </w:r>
          </w:p>
        </w:tc>
      </w:tr>
      <w:tr>
        <w:trPr>
          <w:cantSplit/>
        </w:trPr>
        <w:tc>
          <w:tcPr>
            <w:tcW w:type="dxa" w:w="21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5"/>
                <w:szCs w:val="15"/>
              </w:rPr>
              <w:t xml:space="preserve">Health Care</w:t>
            </w:r>
          </w:p>
        </w:tc>
        <w:tc>
          <w:tcPr>
            <w:tcW w:type="dxa" w:w="6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79</w:t>
            </w:r>
          </w:p>
        </w:tc>
        <w:tc>
          <w:tcPr>
            <w:tcW w:type="dxa" w:w="7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2</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5"/>
                <w:szCs w:val="15"/>
              </w:rPr>
              <w:t xml:space="preserve">+1.0%</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+0.9%</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62%</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+2.9%</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+1.6%p</w:t>
            </w:r>
          </w:p>
        </w:tc>
        <w:tc>
          <w:tcPr>
            <w:tcW w:type="dxa" w:w="11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4"/>
                <w:szCs w:val="14"/>
              </w:rPr>
              <w:t xml:space="preserve">강세 확산</w:t>
            </w:r>
          </w:p>
        </w:tc>
      </w:tr>
      <w:tr>
        <w:trPr>
          <w:cantSplit/>
        </w:trPr>
        <w:tc>
          <w:tcPr>
            <w:tcW w:type="dxa" w:w="21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5"/>
                <w:szCs w:val="15"/>
              </w:rPr>
              <w:t xml:space="preserve">Consumer Discretionary</w:t>
            </w:r>
          </w:p>
        </w:tc>
        <w:tc>
          <w:tcPr>
            <w:tcW w:type="dxa" w:w="6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290</w:t>
            </w:r>
          </w:p>
        </w:tc>
        <w:tc>
          <w:tcPr>
            <w:tcW w:type="dxa" w:w="7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4</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5"/>
                <w:szCs w:val="15"/>
              </w:rPr>
              <w:t xml:space="preserve">+0.3%</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+0.7%</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58%</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+3.8%</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+1.0%p</w:t>
            </w:r>
          </w:p>
        </w:tc>
        <w:tc>
          <w:tcPr>
            <w:tcW w:type="dxa" w:w="11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4"/>
                <w:szCs w:val="14"/>
              </w:rPr>
              <w:t xml:space="preserve">강세 확산</w:t>
            </w:r>
          </w:p>
        </w:tc>
      </w:tr>
      <w:tr>
        <w:trPr>
          <w:cantSplit/>
        </w:trPr>
        <w:tc>
          <w:tcPr>
            <w:tcW w:type="dxa" w:w="21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5"/>
                <w:szCs w:val="15"/>
              </w:rPr>
              <w:t xml:space="preserve">Industrials</w:t>
            </w:r>
          </w:p>
        </w:tc>
        <w:tc>
          <w:tcPr>
            <w:tcW w:type="dxa" w:w="6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441</w:t>
            </w:r>
          </w:p>
        </w:tc>
        <w:tc>
          <w:tcPr>
            <w:tcW w:type="dxa" w:w="7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3</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5"/>
                <w:szCs w:val="15"/>
              </w:rPr>
              <w:t xml:space="preserve">-1.1%</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-0.3%</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44%</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+4.1%</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-0.4%p</w:t>
            </w:r>
          </w:p>
        </w:tc>
        <w:tc>
          <w:tcPr>
            <w:tcW w:type="dxa" w:w="11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4"/>
                <w:szCs w:val="14"/>
              </w:rPr>
              <w:t xml:space="preserve">약세 확산</w:t>
            </w:r>
          </w:p>
        </w:tc>
      </w:tr>
      <w:tr>
        <w:trPr>
          <w:cantSplit/>
        </w:trPr>
        <w:tc>
          <w:tcPr>
            <w:tcW w:type="dxa" w:w="21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5"/>
                <w:szCs w:val="15"/>
              </w:rPr>
              <w:t xml:space="preserve">Financials</w:t>
            </w:r>
          </w:p>
        </w:tc>
        <w:tc>
          <w:tcPr>
            <w:tcW w:type="dxa" w:w="6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128</w:t>
            </w:r>
          </w:p>
        </w:tc>
        <w:tc>
          <w:tcPr>
            <w:tcW w:type="dxa" w:w="7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3</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5"/>
                <w:szCs w:val="15"/>
              </w:rPr>
              <w:t xml:space="preserve">-1.2%</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-1.7%</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32%</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+3.1%</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-0.6%p</w:t>
            </w:r>
          </w:p>
        </w:tc>
        <w:tc>
          <w:tcPr>
            <w:tcW w:type="dxa" w:w="11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4"/>
                <w:szCs w:val="14"/>
              </w:rPr>
              <w:t xml:space="preserve">약세 확산</w:t>
            </w:r>
          </w:p>
        </w:tc>
      </w:tr>
      <w:tr>
        <w:trPr>
          <w:cantSplit/>
        </w:trPr>
        <w:tc>
          <w:tcPr>
            <w:tcW w:type="dxa" w:w="21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5"/>
                <w:szCs w:val="15"/>
              </w:rPr>
              <w:t xml:space="preserve">Materials</w:t>
            </w:r>
          </w:p>
        </w:tc>
        <w:tc>
          <w:tcPr>
            <w:tcW w:type="dxa" w:w="6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157</w:t>
            </w:r>
          </w:p>
        </w:tc>
        <w:tc>
          <w:tcPr>
            <w:tcW w:type="dxa" w:w="7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1</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5"/>
                <w:szCs w:val="15"/>
              </w:rPr>
              <w:t xml:space="preserve">-1.5%</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-1.5%</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34%</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+4.3%</w:t>
            </w:r>
          </w:p>
        </w:tc>
        <w:tc>
          <w:tcPr>
            <w:tcW w:type="dxa" w:w="92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-0.8%p</w:t>
            </w:r>
          </w:p>
        </w:tc>
        <w:tc>
          <w:tcPr>
            <w:tcW w:type="dxa" w:w="110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4"/>
                <w:szCs w:val="14"/>
              </w:rPr>
              <w:t xml:space="preserve">약세 확산</w:t>
            </w:r>
          </w:p>
        </w:tc>
      </w:tr>
      <w:tr>
        <w:trPr>
          <w:cantSplit/>
        </w:trPr>
        <w:tc>
          <w:tcPr>
            <w:tcW w:type="dxa" w:w="21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5"/>
                <w:szCs w:val="15"/>
              </w:rPr>
              <w:t xml:space="preserve">Information Technology</w:t>
            </w:r>
          </w:p>
        </w:tc>
        <w:tc>
          <w:tcPr>
            <w:tcW w:type="dxa" w:w="6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247</w:t>
            </w:r>
          </w:p>
        </w:tc>
        <w:tc>
          <w:tcPr>
            <w:tcW w:type="dxa" w:w="7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5"/>
                <w:szCs w:val="15"/>
              </w:rPr>
              <w:t xml:space="preserve">3</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5"/>
                <w:szCs w:val="15"/>
              </w:rPr>
              <w:t xml:space="preserve">-3.3%</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-2.9%</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27%</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+5.5%</w:t>
            </w:r>
          </w:p>
        </w:tc>
        <w:tc>
          <w:tcPr>
            <w:tcW w:type="dxa" w:w="92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5"/>
                <w:szCs w:val="15"/>
              </w:rPr>
              <w:t xml:space="preserve">-2.6%p</w:t>
            </w:r>
          </w:p>
        </w:tc>
        <w:tc>
          <w:tcPr>
            <w:tcW w:type="dxa" w:w="110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4"/>
                <w:szCs w:val="14"/>
              </w:rPr>
              <w:t xml:space="preserve">약세 확산</w:t>
            </w:r>
          </w:p>
        </w:tc>
      </w:tr>
    </w:tbl>
    <w:p>
      <w:pPr>
        <w:keepNext w:val="false"/>
        <w:spacing w:after="100" w:before="0" w:line="286"/>
        <w:jc w:val="left"/>
      </w:pPr>
      <w:r>
        <w:rPr>
          <w:rFonts w:ascii="Malgun Gothic" w:cs="Malgun Gothic" w:eastAsia="Malgun Gothic" w:hAnsi="Malgun Gothic"/>
          <w:b w:val="false"/>
          <w:bCs w:val="false"/>
          <w:i w:val="false"/>
          <w:iCs w:val="false"/>
          <w:color w:val="666666"/>
          <w:sz w:val="15"/>
          <w:szCs w:val="15"/>
        </w:rPr>
        <w:t xml:space="preserve">정렬 기준은 최근 5거래일 동일가중 평균 수익률이다. 분산은 섹터 내 유효 종목 수익률의 표준편차, 시장 대비는 전체 유효 종목 동일가중 수익률과의 차이다.</w:t>
      </w:r>
    </w:p>
    <w:p>
      <w:r>
        <w:br w:type="page"/>
      </w:r>
    </w:p>
    <w:p>
      <w:pPr>
        <w:pStyle w:val="Heading1"/>
        <w:keepNext/>
        <w:spacing w:after="100" w:before="220"/>
      </w:pPr>
      <w:r>
        <w:t xml:space="preserve">섹터 로테이션</w:t>
      </w:r>
    </w:p>
    <w:p>
      <w:pPr>
        <w:spacing w:after="55" w:before="60"/>
        <w:jc w:val="center"/>
      </w:pPr>
      <w:r>
        <w:drawing>
          <wp:inline distT="0" distB="0" distL="0" distR="0">
            <wp:extent cx="6572250" cy="3629025"/>
            <wp:effectExtent t="0" r="0" b="0" l="0"/>
            <wp:docPr id="1" name="topix_sector_return_5d_20260821.png" descr="topix_sector_return_5d_20260821.png" title="topix_sector_return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2902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1. 섹터별 최근 5거래일 동일가중 평균 수익률</w:t>
      </w:r>
    </w:p>
    <w:p>
      <w:pPr>
        <w:spacing w:after="55" w:before="60"/>
        <w:jc w:val="center"/>
      </w:pPr>
      <w:r>
        <w:drawing>
          <wp:inline distT="0" distB="0" distL="0" distR="0">
            <wp:extent cx="6572250" cy="3629025"/>
            <wp:effectExtent t="0" r="0" b="0" l="0"/>
            <wp:docPr id="1" name="topix_sector_breadth_5d_20260821.png" descr="topix_sector_breadth_5d_20260821.png" title="topix_sector_breadth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2902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2. 섹터별 상승 종목 비율</w:t>
      </w:r>
    </w:p>
    <w:p>
      <w:r>
        <w:br w:type="page"/>
      </w:r>
    </w:p>
    <w:p>
      <w:pPr>
        <w:pStyle w:val="Heading1"/>
        <w:keepNext/>
        <w:spacing w:after="100" w:before="220"/>
      </w:pPr>
      <w:r>
        <w:t xml:space="preserve">Key Findings</w:t>
      </w:r>
    </w:p>
    <w:p>
      <w:pPr>
        <w:keepNext w:val="false"/>
        <w:spacing w:after="100" w:before="0" w:line="286"/>
        <w:jc w:val="left"/>
      </w:pPr>
      <w:r>
        <w:rPr>
          <w:rFonts w:ascii="Malgun Gothic" w:cs="Malgun Gothic" w:eastAsia="Malgun Gothic" w:hAnsi="Malgun Gothic"/>
          <w:b/>
          <w:bCs/>
          <w:i w:val="false"/>
          <w:iCs w:val="false"/>
          <w:color w:val="17365D"/>
          <w:sz w:val="19"/>
          <w:szCs w:val="19"/>
        </w:rPr>
        <w:t xml:space="preserve">1. 상위 섹터  </w:t>
      </w:r>
      <w:r>
        <w:rPr>
          <w:rFonts w:ascii="Malgun Gothic" w:cs="Malgun Gothic" w:eastAsia="Malgun Gothic" w:hAnsi="Malgun Gothic"/>
          <w:b w:val="false"/>
          <w:bCs w:val="false"/>
          <w:i w:val="false"/>
          <w:iCs w:val="false"/>
          <w:color w:val="111111"/>
          <w:sz w:val="19"/>
          <w:szCs w:val="19"/>
        </w:rPr>
        <w:t xml:space="preserve">Utilities가 +3.7%로 선두이며 시장 대비 +4.3%p다. 내부 상승 breadth는 100%로 강세 확산으로 분류된다.</w:t>
      </w:r>
    </w:p>
    <w:p>
      <w:pPr>
        <w:keepNext w:val="false"/>
        <w:spacing w:after="100" w:before="0" w:line="286"/>
        <w:jc w:val="left"/>
      </w:pPr>
      <w:r>
        <w:rPr>
          <w:rFonts w:ascii="Malgun Gothic" w:cs="Malgun Gothic" w:eastAsia="Malgun Gothic" w:hAnsi="Malgun Gothic"/>
          <w:b/>
          <w:bCs/>
          <w:i w:val="false"/>
          <w:iCs w:val="false"/>
          <w:color w:val="17365D"/>
          <w:sz w:val="19"/>
          <w:szCs w:val="19"/>
        </w:rPr>
        <w:t xml:space="preserve">2. 하위 섹터  </w:t>
      </w:r>
      <w:r>
        <w:rPr>
          <w:rFonts w:ascii="Malgun Gothic" w:cs="Malgun Gothic" w:eastAsia="Malgun Gothic" w:hAnsi="Malgun Gothic"/>
          <w:b w:val="false"/>
          <w:bCs w:val="false"/>
          <w:i w:val="false"/>
          <w:iCs w:val="false"/>
          <w:color w:val="111111"/>
          <w:sz w:val="19"/>
          <w:szCs w:val="19"/>
        </w:rPr>
        <w:t xml:space="preserve">Information Technology는 -3.3%로 최하위이며 시장 대비 -2.6%p다. 내부 상승 breadth는 27%다.</w:t>
      </w:r>
    </w:p>
    <w:p>
      <w:pPr>
        <w:keepNext w:val="false"/>
        <w:spacing w:after="100" w:before="0" w:line="286"/>
        <w:jc w:val="left"/>
      </w:pPr>
      <w:r>
        <w:rPr>
          <w:rFonts w:ascii="Malgun Gothic" w:cs="Malgun Gothic" w:eastAsia="Malgun Gothic" w:hAnsi="Malgun Gothic"/>
          <w:b/>
          <w:bCs/>
          <w:i w:val="false"/>
          <w:iCs w:val="false"/>
          <w:color w:val="17365D"/>
          <w:sz w:val="19"/>
          <w:szCs w:val="19"/>
        </w:rPr>
        <w:t xml:space="preserve">3. 섹터 간 스프레드  </w:t>
      </w:r>
      <w:r>
        <w:rPr>
          <w:rFonts w:ascii="Malgun Gothic" w:cs="Malgun Gothic" w:eastAsia="Malgun Gothic" w:hAnsi="Malgun Gothic"/>
          <w:b w:val="false"/>
          <w:bCs w:val="false"/>
          <w:i w:val="false"/>
          <w:iCs w:val="false"/>
          <w:color w:val="111111"/>
          <w:sz w:val="19"/>
          <w:szCs w:val="19"/>
        </w:rPr>
        <w:t xml:space="preserve">선두와 최하위 섹터의 수익률 차이는 +7.0%p다. 스프레드가 크면서 breadth까지 엇갈릴수록 단기 로테이션 신호가 선명하다.</w:t>
      </w:r>
    </w:p>
    <w:p>
      <w:pPr>
        <w:keepNext w:val="false"/>
        <w:spacing w:after="100" w:before="0" w:line="286"/>
        <w:jc w:val="left"/>
      </w:pPr>
      <w:r>
        <w:rPr>
          <w:rFonts w:ascii="Malgun Gothic" w:cs="Malgun Gothic" w:eastAsia="Malgun Gothic" w:hAnsi="Malgun Gothic"/>
          <w:b/>
          <w:bCs/>
          <w:i w:val="false"/>
          <w:iCs w:val="false"/>
          <w:color w:val="17365D"/>
          <w:sz w:val="19"/>
          <w:szCs w:val="19"/>
        </w:rPr>
        <w:t xml:space="preserve">4. 해석 순서  </w:t>
      </w:r>
      <w:r>
        <w:rPr>
          <w:rFonts w:ascii="Malgun Gothic" w:cs="Malgun Gothic" w:eastAsia="Malgun Gothic" w:hAnsi="Malgun Gothic"/>
          <w:b w:val="false"/>
          <w:bCs w:val="false"/>
          <w:i w:val="false"/>
          <w:iCs w:val="false"/>
          <w:color w:val="111111"/>
          <w:sz w:val="19"/>
          <w:szCs w:val="19"/>
        </w:rPr>
        <w:t xml:space="preserve">섹터 평균의 방향, 상승 종목 비율, 산업그룹 간 스프레드, 개별 종목의 극단값 순으로 확인한다. 평균만 강하고 breadth가 약하면 소수 종목 주도로 해석한다.</w:t>
      </w:r>
    </w:p>
    <w:p>
      <w:pPr>
        <w:spacing w:after="55" w:before="60"/>
        <w:jc w:val="center"/>
      </w:pPr>
      <w:r>
        <w:drawing>
          <wp:inline distT="0" distB="0" distL="0" distR="0">
            <wp:extent cx="5534025" cy="4095750"/>
            <wp:effectExtent t="0" r="0" b="0" l="0"/>
            <wp:docPr id="1" name="topix_industry_rotation_5d_20260821.png" descr="topix_industry_rotation_5d_20260821.png" title="topix_industry_rotation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34025" cy="4095750"/>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3. GICS 산업그룹 상위 8개와 하위 8개</w:t>
      </w:r>
    </w:p>
    <w:p>
      <w:pPr>
        <w:pStyle w:val="Heading1"/>
        <w:keepNext/>
        <w:spacing w:after="100" w:before="220"/>
      </w:pPr>
      <w:r>
        <w:t xml:space="preserve">섹터별 상세</w:t>
      </w:r>
    </w:p>
    <w:p>
      <w:pPr>
        <w:keepNext w:val="false"/>
        <w:spacing w:after="105" w:before="0" w:line="286"/>
        <w:jc w:val="left"/>
      </w:pPr>
      <w:r>
        <w:rPr>
          <w:rFonts w:ascii="Malgun Gothic" w:cs="Malgun Gothic" w:eastAsia="Malgun Gothic" w:hAnsi="Malgun Gothic"/>
          <w:b w:val="false"/>
          <w:bCs w:val="false"/>
          <w:i w:val="false"/>
          <w:iCs w:val="false"/>
          <w:color w:val="666666"/>
          <w:sz w:val="19"/>
          <w:szCs w:val="19"/>
        </w:rPr>
        <w:t xml:space="preserve">각 섹터에서 산업그룹 성과와 내부 확산을 먼저 보고, 상승·하락 종목은 각각 최대 8개만 표시한다.</w:t>
      </w:r>
    </w:p>
    <w:p>
      <w:r>
        <w:br w:type="page"/>
      </w:r>
    </w:p>
    <w:p>
      <w:pPr>
        <w:pStyle w:val="Heading1"/>
        <w:keepNext/>
        <w:spacing w:after="100" w:before="220"/>
      </w:pPr>
      <w:r>
        <w:t xml:space="preserve">1. Utilities · 강세 확산</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성과  </w:t>
      </w:r>
      <w:r>
        <w:rPr>
          <w:rFonts w:ascii="Malgun Gothic" w:cs="Malgun Gothic" w:eastAsia="Malgun Gothic" w:hAnsi="Malgun Gothic"/>
          <w:b w:val="false"/>
          <w:bCs w:val="false"/>
          <w:i w:val="false"/>
          <w:iCs w:val="false"/>
          <w:color w:val="111111"/>
          <w:sz w:val="19"/>
          <w:szCs w:val="19"/>
        </w:rPr>
        <w:t xml:space="preserve">5거래일 동일가중 평균 +3.7%, 중앙값 +3.1%, 시장 대비 +4.3%p다. 상승 종목 비율은 100%, 유효 표본은 23개다.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구조  </w:t>
      </w:r>
      <w:r>
        <w:rPr>
          <w:rFonts w:ascii="Malgun Gothic" w:cs="Malgun Gothic" w:eastAsia="Malgun Gothic" w:hAnsi="Malgun Gothic"/>
          <w:b w:val="false"/>
          <w:bCs w:val="false"/>
          <w:i w:val="false"/>
          <w:iCs w:val="false"/>
          <w:color w:val="111111"/>
          <w:sz w:val="19"/>
          <w:szCs w:val="19"/>
        </w:rPr>
        <w:t xml:space="preserve">Utilities 단일 산업그룹으로 구성돼 산업 간 상대비교는 하지 않는다. 해당 산업그룹의 수익률은 +3.7%다.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해석  </w:t>
      </w:r>
      <w:r>
        <w:rPr>
          <w:rFonts w:ascii="Malgun Gothic" w:cs="Malgun Gothic" w:eastAsia="Malgun Gothic" w:hAnsi="Malgun Gothic"/>
          <w:b w:val="false"/>
          <w:bCs w:val="false"/>
          <w:i w:val="false"/>
          <w:iCs w:val="false"/>
          <w:color w:val="111111"/>
          <w:sz w:val="19"/>
          <w:szCs w:val="19"/>
        </w:rPr>
        <w:t xml:space="preserve">시장 대비 초과수익과 과반 상승 breadth가 함께 나타나 섹터 내부 확산이 확인된다. 종목 간 분산은 시장 전체보다 낮아 방향성이 비교적 고르게 나타났다.</w:t>
      </w:r>
    </w:p>
    <w:p>
      <w:pPr>
        <w:spacing w:after="55" w:before="60"/>
        <w:jc w:val="center"/>
      </w:pPr>
      <w:r>
        <w:drawing>
          <wp:inline distT="0" distB="0" distL="0" distR="0">
            <wp:extent cx="6429375" cy="2505075"/>
            <wp:effectExtent t="0" r="0" b="0" l="0"/>
            <wp:docPr id="1" name="topix_utilities_industries_5d_20260821.png" descr="topix_utilities_industries_5d_20260821.png" title="topix_utilities_industries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29375" cy="250507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4. Utilities 산업그룹 최근 5거래일 성과</w:t>
      </w:r>
    </w:p>
    <w:tbl>
      <w:tblPr>
        <w:tblW w:type="dxa" w:w="8050"/>
        <w:tblBorders>
          <w:top w:val="single" w:color="B4C7DC" w:sz="4"/>
          <w:left w:val="single" w:color="B4C7DC" w:sz="4"/>
          <w:bottom w:val="single" w:color="B4C7DC" w:sz="4"/>
          <w:right w:val="single" w:color="B4C7DC" w:sz="4"/>
          <w:insideH w:val="single" w:color="D9D9D9" w:sz="2"/>
          <w:insideV w:val="single" w:color="D9D9D9" w:sz="2"/>
        </w:tblBorders>
      </w:tblPr>
      <w:tblGrid>
        <w:gridCol w:w="3000"/>
        <w:gridCol w:w="650"/>
        <w:gridCol w:w="1050"/>
        <w:gridCol w:w="1050"/>
        <w:gridCol w:w="1050"/>
        <w:gridCol w:w="1250"/>
      </w:tblGrid>
      <w:tr>
        <w:trPr>
          <w:cantSplit/>
          <w:tblHeader/>
        </w:trPr>
        <w:tc>
          <w:tcPr>
            <w:tcW w:type="dxa" w:w="30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GICS Industry Group</w:t>
            </w:r>
          </w:p>
        </w:tc>
        <w:tc>
          <w:tcPr>
            <w:tcW w:type="dxa" w:w="6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N</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5D 평균</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중앙값</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상승 비율</w:t>
            </w:r>
          </w:p>
        </w:tc>
        <w:tc>
          <w:tcPr>
            <w:tcW w:type="dxa" w:w="12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섹터 대비</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Utilities</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23</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+3.7%</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+3.1%</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100%</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+0.0%p</w:t>
            </w:r>
          </w:p>
        </w:tc>
      </w:tr>
    </w:tbl>
    <w:p>
      <w:pPr>
        <w:keepNext w:val="false"/>
        <w:spacing w:after="40" w:before="0" w:line="286"/>
        <w:jc w:val="left"/>
      </w:pPr>
      <w:r>
        <w:rPr>
          <w:rFonts w:ascii="Malgun Gothic" w:cs="Malgun Gothic" w:eastAsia="Malgun Gothic" w:hAnsi="Malgun Gothic"/>
          <w:b w:val="false"/>
          <w:bCs w:val="false"/>
          <w:i w:val="false"/>
          <w:iCs w:val="false"/>
          <w:color w:val="111111"/>
          <w:sz w:val="4"/>
          <w:szCs w:val="4"/>
        </w:rPr>
        <w:t xml:space="preserve"/>
      </w:r>
    </w:p>
    <w:p>
      <w:pPr>
        <w:pStyle w:val="Heading2"/>
        <w:keepNext/>
        <w:spacing w:after="100" w:before="170"/>
      </w:pPr>
      <w:r>
        <w:t xml:space="preserve">상승 종목과 하락 종목</w:t>
      </w:r>
    </w:p>
    <w:p>
      <w:pPr>
        <w:keepNext w:val="false"/>
        <w:spacing w:after="75" w:before="0" w:line="286"/>
        <w:jc w:val="left"/>
      </w:pPr>
      <w:r>
        <w:rPr>
          <w:rFonts w:ascii="Malgun Gothic" w:cs="Malgun Gothic" w:eastAsia="Malgun Gothic" w:hAnsi="Malgun Gothic"/>
          <w:b w:val="false"/>
          <w:bCs w:val="false"/>
          <w:i w:val="false"/>
          <w:iCs w:val="false"/>
          <w:color w:val="666666"/>
          <w:sz w:val="16"/>
          <w:szCs w:val="16"/>
        </w:rPr>
        <w:t xml:space="preserve">섹터 내 유효 종목을 수익률 순으로 정렬해 상승 상위와 하락 하위를 각각 최대 8개 표시했다.</w:t>
      </w:r>
    </w:p>
    <w:tbl>
      <w:tblPr>
        <w:tblW w:type="dxa" w:w="9360"/>
        <w:tblBorders>
          <w:top w:val="single" w:color="B4C7DC" w:sz="4"/>
          <w:left w:val="single" w:color="B4C7DC" w:sz="4"/>
          <w:bottom w:val="single" w:color="B4C7DC" w:sz="4"/>
          <w:right w:val="single" w:color="B4C7DC" w:sz="4"/>
          <w:insideH w:val="single" w:color="D9D9D9" w:sz="2"/>
          <w:insideV w:val="single" w:color="D9D9D9" w:sz="2"/>
        </w:tblBorders>
      </w:tblPr>
      <w:tblGrid>
        <w:gridCol w:w="1500"/>
        <w:gridCol w:w="1050"/>
        <w:gridCol w:w="1430"/>
        <w:gridCol w:w="700"/>
        <w:gridCol w:w="1500"/>
        <w:gridCol w:w="1050"/>
        <w:gridCol w:w="1430"/>
        <w:gridCol w:w="700"/>
      </w:tblGrid>
      <w:tr>
        <w:trPr>
          <w:cantSplit/>
          <w:tblHeader/>
        </w:trPr>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상승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하락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Kansai Electric Power Co Inc/T</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9503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Utilities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+8.7%</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Tokyo Electric Power Co Holdin</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9501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Utilities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+6.3%</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Tohoku Electric Power Co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9506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Utilities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+6.1%</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Chugoku Electric Power Co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9504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Utilities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+5.9%</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Okinawa Electric Power Co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9511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Utilities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+5.5%</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Shikoku Electric Power Co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9507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Utilities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+5.1%</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Kyushu Electric Power Co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9508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Utilities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+4.9%</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Hokkaido Gas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9534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Utilities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+4.6%</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bl>
    <w:p>
      <w:r>
        <w:br w:type="page"/>
      </w:r>
    </w:p>
    <w:p>
      <w:pPr>
        <w:pStyle w:val="Heading1"/>
        <w:keepNext/>
        <w:spacing w:after="100" w:before="220"/>
      </w:pPr>
      <w:r>
        <w:t xml:space="preserve">2. Energy · 강세 확산</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성과  </w:t>
      </w:r>
      <w:r>
        <w:rPr>
          <w:rFonts w:ascii="Malgun Gothic" w:cs="Malgun Gothic" w:eastAsia="Malgun Gothic" w:hAnsi="Malgun Gothic"/>
          <w:b w:val="false"/>
          <w:bCs w:val="false"/>
          <w:i w:val="false"/>
          <w:iCs w:val="false"/>
          <w:color w:val="111111"/>
          <w:sz w:val="19"/>
          <w:szCs w:val="19"/>
        </w:rPr>
        <w:t xml:space="preserve">5거래일 동일가중 평균 +2.0%, 중앙값 +2.9%, 시장 대비 +2.6%p다. 상승 종목 비율은 71%, 유효 표본은 14개다.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구조  </w:t>
      </w:r>
      <w:r>
        <w:rPr>
          <w:rFonts w:ascii="Malgun Gothic" w:cs="Malgun Gothic" w:eastAsia="Malgun Gothic" w:hAnsi="Malgun Gothic"/>
          <w:b w:val="false"/>
          <w:bCs w:val="false"/>
          <w:i w:val="false"/>
          <w:iCs w:val="false"/>
          <w:color w:val="111111"/>
          <w:sz w:val="19"/>
          <w:szCs w:val="19"/>
        </w:rPr>
        <w:t xml:space="preserve">Energy 단일 산업그룹으로 구성돼 산업 간 상대비교는 하지 않는다. 해당 산업그룹의 수익률은 +2.0%다.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해석  </w:t>
      </w:r>
      <w:r>
        <w:rPr>
          <w:rFonts w:ascii="Malgun Gothic" w:cs="Malgun Gothic" w:eastAsia="Malgun Gothic" w:hAnsi="Malgun Gothic"/>
          <w:b w:val="false"/>
          <w:bCs w:val="false"/>
          <w:i w:val="false"/>
          <w:iCs w:val="false"/>
          <w:color w:val="111111"/>
          <w:sz w:val="19"/>
          <w:szCs w:val="19"/>
        </w:rPr>
        <w:t xml:space="preserve">시장 대비 초과수익과 과반 상승 breadth가 함께 나타나 섹터 내부 확산이 확인된다. 종목 간 수익률 분산도 시장 전체보다 커 개별 종목 선택의 영향이 컸다.</w:t>
      </w:r>
    </w:p>
    <w:p>
      <w:pPr>
        <w:spacing w:after="55" w:before="60"/>
        <w:jc w:val="center"/>
      </w:pPr>
      <w:r>
        <w:drawing>
          <wp:inline distT="0" distB="0" distL="0" distR="0">
            <wp:extent cx="6429375" cy="2505075"/>
            <wp:effectExtent t="0" r="0" b="0" l="0"/>
            <wp:docPr id="1" name="topix_energy_industries_5d_20260821.png" descr="topix_energy_industries_5d_20260821.png" title="topix_energy_industries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29375" cy="250507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5. Energy 산업그룹 최근 5거래일 성과</w:t>
      </w:r>
    </w:p>
    <w:tbl>
      <w:tblPr>
        <w:tblW w:type="dxa" w:w="8050"/>
        <w:tblBorders>
          <w:top w:val="single" w:color="B4C7DC" w:sz="4"/>
          <w:left w:val="single" w:color="B4C7DC" w:sz="4"/>
          <w:bottom w:val="single" w:color="B4C7DC" w:sz="4"/>
          <w:right w:val="single" w:color="B4C7DC" w:sz="4"/>
          <w:insideH w:val="single" w:color="D9D9D9" w:sz="2"/>
          <w:insideV w:val="single" w:color="D9D9D9" w:sz="2"/>
        </w:tblBorders>
      </w:tblPr>
      <w:tblGrid>
        <w:gridCol w:w="3000"/>
        <w:gridCol w:w="650"/>
        <w:gridCol w:w="1050"/>
        <w:gridCol w:w="1050"/>
        <w:gridCol w:w="1050"/>
        <w:gridCol w:w="1250"/>
      </w:tblGrid>
      <w:tr>
        <w:trPr>
          <w:cantSplit/>
          <w:tblHeader/>
        </w:trPr>
        <w:tc>
          <w:tcPr>
            <w:tcW w:type="dxa" w:w="30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GICS Industry Group</w:t>
            </w:r>
          </w:p>
        </w:tc>
        <w:tc>
          <w:tcPr>
            <w:tcW w:type="dxa" w:w="6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N</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5D 평균</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중앙값</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상승 비율</w:t>
            </w:r>
          </w:p>
        </w:tc>
        <w:tc>
          <w:tcPr>
            <w:tcW w:type="dxa" w:w="12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섹터 대비</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Energy</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14</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+2.0%</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+2.9%</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71%</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+0.0%p</w:t>
            </w:r>
          </w:p>
        </w:tc>
      </w:tr>
    </w:tbl>
    <w:p>
      <w:pPr>
        <w:keepNext w:val="false"/>
        <w:spacing w:after="40" w:before="0" w:line="286"/>
        <w:jc w:val="left"/>
      </w:pPr>
      <w:r>
        <w:rPr>
          <w:rFonts w:ascii="Malgun Gothic" w:cs="Malgun Gothic" w:eastAsia="Malgun Gothic" w:hAnsi="Malgun Gothic"/>
          <w:b w:val="false"/>
          <w:bCs w:val="false"/>
          <w:i w:val="false"/>
          <w:iCs w:val="false"/>
          <w:color w:val="111111"/>
          <w:sz w:val="4"/>
          <w:szCs w:val="4"/>
        </w:rPr>
        <w:t xml:space="preserve"/>
      </w:r>
    </w:p>
    <w:p>
      <w:pPr>
        <w:pStyle w:val="Heading2"/>
        <w:keepNext/>
        <w:spacing w:after="100" w:before="170"/>
      </w:pPr>
      <w:r>
        <w:t xml:space="preserve">상승 종목과 하락 종목</w:t>
      </w:r>
    </w:p>
    <w:p>
      <w:pPr>
        <w:keepNext w:val="false"/>
        <w:spacing w:after="75" w:before="0" w:line="286"/>
        <w:jc w:val="left"/>
      </w:pPr>
      <w:r>
        <w:rPr>
          <w:rFonts w:ascii="Malgun Gothic" w:cs="Malgun Gothic" w:eastAsia="Malgun Gothic" w:hAnsi="Malgun Gothic"/>
          <w:b w:val="false"/>
          <w:bCs w:val="false"/>
          <w:i w:val="false"/>
          <w:iCs w:val="false"/>
          <w:color w:val="666666"/>
          <w:sz w:val="16"/>
          <w:szCs w:val="16"/>
        </w:rPr>
        <w:t xml:space="preserve">섹터 내 유효 종목을 수익률 순으로 정렬해 상승 상위와 하락 하위를 각각 최대 8개 표시했다.</w:t>
      </w:r>
    </w:p>
    <w:tbl>
      <w:tblPr>
        <w:tblW w:type="dxa" w:w="9360"/>
        <w:tblBorders>
          <w:top w:val="single" w:color="B4C7DC" w:sz="4"/>
          <w:left w:val="single" w:color="B4C7DC" w:sz="4"/>
          <w:bottom w:val="single" w:color="B4C7DC" w:sz="4"/>
          <w:right w:val="single" w:color="B4C7DC" w:sz="4"/>
          <w:insideH w:val="single" w:color="D9D9D9" w:sz="2"/>
          <w:insideV w:val="single" w:color="D9D9D9" w:sz="2"/>
        </w:tblBorders>
      </w:tblPr>
      <w:tblGrid>
        <w:gridCol w:w="1500"/>
        <w:gridCol w:w="1050"/>
        <w:gridCol w:w="1430"/>
        <w:gridCol w:w="700"/>
        <w:gridCol w:w="1500"/>
        <w:gridCol w:w="1050"/>
        <w:gridCol w:w="1430"/>
        <w:gridCol w:w="700"/>
      </w:tblGrid>
      <w:tr>
        <w:trPr>
          <w:cantSplit/>
          <w:tblHeader/>
        </w:trPr>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상승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하락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SHINANEN HOLDINGS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8132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+9.2%</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Modec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6269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-8.7%</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Idemitsu Kosan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5019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+5.9%</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Iwatani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8088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-3.2%</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Mitsuuroko Group Holdings Co L</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8131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+5.9%</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Toyo Kanetsu KK</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6369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-2.0%</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Inpex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1605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+4.5%</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Nippon Coke &amp; Engineering Co L</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3315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-1.9%</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Itochu Enex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8133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+4.0%</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Japan Petroleum Exploration Co</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1662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+3.1%</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ENEOS Holdings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5020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+3.1%</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Cosmo Energy Holdings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5021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Energy</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+2.8%</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bl>
    <w:p>
      <w:r>
        <w:br w:type="page"/>
      </w:r>
    </w:p>
    <w:p>
      <w:pPr>
        <w:pStyle w:val="Heading1"/>
        <w:keepNext/>
        <w:spacing w:after="100" w:before="220"/>
      </w:pPr>
      <w:r>
        <w:t xml:space="preserve">3. Communication Services · 강세 확산</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성과  </w:t>
      </w:r>
      <w:r>
        <w:rPr>
          <w:rFonts w:ascii="Malgun Gothic" w:cs="Malgun Gothic" w:eastAsia="Malgun Gothic" w:hAnsi="Malgun Gothic"/>
          <w:b w:val="false"/>
          <w:bCs w:val="false"/>
          <w:i w:val="false"/>
          <w:iCs w:val="false"/>
          <w:color w:val="111111"/>
          <w:sz w:val="19"/>
          <w:szCs w:val="19"/>
        </w:rPr>
        <w:t xml:space="preserve">5거래일 동일가중 평균 +1.7%, 중앙값 +0.8%, 시장 대비 +2.4%p다. 상승 종목 비율은 73%, 유효 표본은 77개다.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구조  </w:t>
      </w:r>
      <w:r>
        <w:rPr>
          <w:rFonts w:ascii="Malgun Gothic" w:cs="Malgun Gothic" w:eastAsia="Malgun Gothic" w:hAnsi="Malgun Gothic"/>
          <w:b w:val="false"/>
          <w:bCs w:val="false"/>
          <w:i w:val="false"/>
          <w:iCs w:val="false"/>
          <w:color w:val="111111"/>
          <w:sz w:val="19"/>
          <w:szCs w:val="19"/>
        </w:rPr>
        <w:t xml:space="preserve">2개 산업그룹 중 Media &amp; Entertainment가 +2.0%로 가장 강했고, Telecommunication Services가 -0.1%로 가장 약했다. 산업 간 스프레드는 +2.1%p다.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해석  </w:t>
      </w:r>
      <w:r>
        <w:rPr>
          <w:rFonts w:ascii="Malgun Gothic" w:cs="Malgun Gothic" w:eastAsia="Malgun Gothic" w:hAnsi="Malgun Gothic"/>
          <w:b w:val="false"/>
          <w:bCs w:val="false"/>
          <w:i w:val="false"/>
          <w:iCs w:val="false"/>
          <w:color w:val="111111"/>
          <w:sz w:val="19"/>
          <w:szCs w:val="19"/>
        </w:rPr>
        <w:t xml:space="preserve">시장 대비 초과수익과 과반 상승 breadth가 함께 나타나 섹터 내부 확산이 확인된다. 종목 간 수익률 분산도 시장 전체보다 커 개별 종목 선택의 영향이 컸다.</w:t>
      </w:r>
    </w:p>
    <w:p>
      <w:pPr>
        <w:spacing w:after="55" w:before="60"/>
        <w:jc w:val="center"/>
      </w:pPr>
      <w:r>
        <w:drawing>
          <wp:inline distT="0" distB="0" distL="0" distR="0">
            <wp:extent cx="6429375" cy="2505075"/>
            <wp:effectExtent t="0" r="0" b="0" l="0"/>
            <wp:docPr id="1" name="topix_communication_services_industries_5d_20260821.png" descr="topix_communication_services_industries_5d_20260821.png" title="topix_communication_services_industries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29375" cy="250507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6. Communication Services 산업그룹 최근 5거래일 성과</w:t>
      </w:r>
    </w:p>
    <w:tbl>
      <w:tblPr>
        <w:tblW w:type="dxa" w:w="8050"/>
        <w:tblBorders>
          <w:top w:val="single" w:color="B4C7DC" w:sz="4"/>
          <w:left w:val="single" w:color="B4C7DC" w:sz="4"/>
          <w:bottom w:val="single" w:color="B4C7DC" w:sz="4"/>
          <w:right w:val="single" w:color="B4C7DC" w:sz="4"/>
          <w:insideH w:val="single" w:color="D9D9D9" w:sz="2"/>
          <w:insideV w:val="single" w:color="D9D9D9" w:sz="2"/>
        </w:tblBorders>
      </w:tblPr>
      <w:tblGrid>
        <w:gridCol w:w="3000"/>
        <w:gridCol w:w="650"/>
        <w:gridCol w:w="1050"/>
        <w:gridCol w:w="1050"/>
        <w:gridCol w:w="1050"/>
        <w:gridCol w:w="1250"/>
      </w:tblGrid>
      <w:tr>
        <w:trPr>
          <w:cantSplit/>
          <w:tblHeader/>
        </w:trPr>
        <w:tc>
          <w:tcPr>
            <w:tcW w:type="dxa" w:w="30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GICS Industry Group</w:t>
            </w:r>
          </w:p>
        </w:tc>
        <w:tc>
          <w:tcPr>
            <w:tcW w:type="dxa" w:w="6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N</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5D 평균</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중앙값</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상승 비율</w:t>
            </w:r>
          </w:p>
        </w:tc>
        <w:tc>
          <w:tcPr>
            <w:tcW w:type="dxa" w:w="12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섹터 대비</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Media &amp; Entertainment</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65</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+2.0%</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+0.9%</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72%</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+0.3%p</w:t>
            </w:r>
          </w:p>
        </w:tc>
      </w:tr>
      <w:tr>
        <w:trPr>
          <w:cantSplit/>
        </w:trPr>
        <w:tc>
          <w:tcPr>
            <w:tcW w:type="dxa" w:w="30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Telecommunication Services</w:t>
            </w:r>
          </w:p>
        </w:tc>
        <w:tc>
          <w:tcPr>
            <w:tcW w:type="dxa" w:w="6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12</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6"/>
                <w:szCs w:val="16"/>
              </w:rPr>
              <w:t xml:space="preserve">-0.1%</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+0.6%</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75%</w:t>
            </w:r>
          </w:p>
        </w:tc>
        <w:tc>
          <w:tcPr>
            <w:tcW w:type="dxa" w:w="12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-1.8%p</w:t>
            </w:r>
          </w:p>
        </w:tc>
      </w:tr>
    </w:tbl>
    <w:p>
      <w:pPr>
        <w:keepNext w:val="false"/>
        <w:spacing w:after="40" w:before="0" w:line="286"/>
        <w:jc w:val="left"/>
      </w:pPr>
      <w:r>
        <w:rPr>
          <w:rFonts w:ascii="Malgun Gothic" w:cs="Malgun Gothic" w:eastAsia="Malgun Gothic" w:hAnsi="Malgun Gothic"/>
          <w:b w:val="false"/>
          <w:bCs w:val="false"/>
          <w:i w:val="false"/>
          <w:iCs w:val="false"/>
          <w:color w:val="111111"/>
          <w:sz w:val="4"/>
          <w:szCs w:val="4"/>
        </w:rPr>
        <w:t xml:space="preserve"/>
      </w:r>
    </w:p>
    <w:p>
      <w:pPr>
        <w:pStyle w:val="Heading2"/>
        <w:keepNext/>
        <w:spacing w:after="100" w:before="170"/>
      </w:pPr>
      <w:r>
        <w:t xml:space="preserve">상승 종목과 하락 종목</w:t>
      </w:r>
    </w:p>
    <w:p>
      <w:pPr>
        <w:keepNext w:val="false"/>
        <w:spacing w:after="75" w:before="0" w:line="286"/>
        <w:jc w:val="left"/>
      </w:pPr>
      <w:r>
        <w:rPr>
          <w:rFonts w:ascii="Malgun Gothic" w:cs="Malgun Gothic" w:eastAsia="Malgun Gothic" w:hAnsi="Malgun Gothic"/>
          <w:b w:val="false"/>
          <w:bCs w:val="false"/>
          <w:i w:val="false"/>
          <w:iCs w:val="false"/>
          <w:color w:val="666666"/>
          <w:sz w:val="16"/>
          <w:szCs w:val="16"/>
        </w:rPr>
        <w:t xml:space="preserve">섹터 내 유효 종목을 수익률 순으로 정렬해 상승 상위와 하락 하위를 각각 최대 8개 표시했다.</w:t>
      </w:r>
    </w:p>
    <w:tbl>
      <w:tblPr>
        <w:tblW w:type="dxa" w:w="9360"/>
        <w:tblBorders>
          <w:top w:val="single" w:color="B4C7DC" w:sz="4"/>
          <w:left w:val="single" w:color="B4C7DC" w:sz="4"/>
          <w:bottom w:val="single" w:color="B4C7DC" w:sz="4"/>
          <w:right w:val="single" w:color="B4C7DC" w:sz="4"/>
          <w:insideH w:val="single" w:color="D9D9D9" w:sz="2"/>
          <w:insideV w:val="single" w:color="D9D9D9" w:sz="2"/>
        </w:tblBorders>
      </w:tblPr>
      <w:tblGrid>
        <w:gridCol w:w="1500"/>
        <w:gridCol w:w="1050"/>
        <w:gridCol w:w="1430"/>
        <w:gridCol w:w="700"/>
        <w:gridCol w:w="1500"/>
        <w:gridCol w:w="1050"/>
        <w:gridCol w:w="1430"/>
        <w:gridCol w:w="700"/>
      </w:tblGrid>
      <w:tr>
        <w:trPr>
          <w:cantSplit/>
          <w:tblHeader/>
        </w:trPr>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상승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하락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Bengo4.com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6027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+19.3%</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SoftBank Group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9984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Telecommunication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-8.4%</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CL Holdings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4286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+17.4%</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Dentsu Group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4324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-6.9%</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Giftee Group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590A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+17.3%</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KLab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3656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-5.9%</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Akatsuki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3932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+11.0%</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SKY Perfect JSAT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9412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-5.4%</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Ceres Inc/Japan</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3696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+9.7%</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Internet Initiative Japan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3774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Telecommunication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-3.5%</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MIXI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2121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+6.2%</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Nintendo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7974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-3.4%</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Kamakura Shinsho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6184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+6.0%</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Orchestra Holdings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6533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-2.7%</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GMO Internet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4784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+6.0%</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GREE Holdings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3632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Media &amp; Entertainment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-2.1%</w:t>
            </w:r>
          </w:p>
        </w:tc>
      </w:tr>
    </w:tbl>
    <w:p>
      <w:r>
        <w:br w:type="page"/>
      </w:r>
    </w:p>
    <w:p>
      <w:pPr>
        <w:pStyle w:val="Heading1"/>
        <w:keepNext/>
        <w:spacing w:after="100" w:before="220"/>
      </w:pPr>
      <w:r>
        <w:t xml:space="preserve">4. Real Estate · 강세 확산</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성과  </w:t>
      </w:r>
      <w:r>
        <w:rPr>
          <w:rFonts w:ascii="Malgun Gothic" w:cs="Malgun Gothic" w:eastAsia="Malgun Gothic" w:hAnsi="Malgun Gothic"/>
          <w:b w:val="false"/>
          <w:bCs w:val="false"/>
          <w:i w:val="false"/>
          <w:iCs w:val="false"/>
          <w:color w:val="111111"/>
          <w:sz w:val="19"/>
          <w:szCs w:val="19"/>
        </w:rPr>
        <w:t xml:space="preserve">5거래일 동일가중 평균 +1.1%, 중앙값 +1.4%, 시장 대비 +1.8%p다. 상승 종목 비율은 81%, 유효 표본은 37개다.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구조  </w:t>
      </w:r>
      <w:r>
        <w:rPr>
          <w:rFonts w:ascii="Malgun Gothic" w:cs="Malgun Gothic" w:eastAsia="Malgun Gothic" w:hAnsi="Malgun Gothic"/>
          <w:b w:val="false"/>
          <w:bCs w:val="false"/>
          <w:i w:val="false"/>
          <w:iCs w:val="false"/>
          <w:color w:val="111111"/>
          <w:sz w:val="19"/>
          <w:szCs w:val="19"/>
        </w:rPr>
        <w:t xml:space="preserve">Real Estate Management &amp; Development 단일 산업그룹으로 구성돼 산업 간 상대비교는 하지 않는다. 해당 산업그룹의 수익률은 +1.1%다.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해석  </w:t>
      </w:r>
      <w:r>
        <w:rPr>
          <w:rFonts w:ascii="Malgun Gothic" w:cs="Malgun Gothic" w:eastAsia="Malgun Gothic" w:hAnsi="Malgun Gothic"/>
          <w:b w:val="false"/>
          <w:bCs w:val="false"/>
          <w:i w:val="false"/>
          <w:iCs w:val="false"/>
          <w:color w:val="111111"/>
          <w:sz w:val="19"/>
          <w:szCs w:val="19"/>
        </w:rPr>
        <w:t xml:space="preserve">시장 대비 초과수익과 과반 상승 breadth가 함께 나타나 섹터 내부 확산이 확인된다. 종목 간 분산은 시장 전체보다 낮아 방향성이 비교적 고르게 나타났다.</w:t>
      </w:r>
    </w:p>
    <w:p>
      <w:pPr>
        <w:spacing w:after="55" w:before="60"/>
        <w:jc w:val="center"/>
      </w:pPr>
      <w:r>
        <w:drawing>
          <wp:inline distT="0" distB="0" distL="0" distR="0">
            <wp:extent cx="6429375" cy="2505075"/>
            <wp:effectExtent t="0" r="0" b="0" l="0"/>
            <wp:docPr id="1" name="topix_real_estate_industries_5d_20260821.png" descr="topix_real_estate_industries_5d_20260821.png" title="topix_real_estate_industries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29375" cy="250507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7. Real Estate 산업그룹 최근 5거래일 성과</w:t>
      </w:r>
    </w:p>
    <w:tbl>
      <w:tblPr>
        <w:tblW w:type="dxa" w:w="8050"/>
        <w:tblBorders>
          <w:top w:val="single" w:color="B4C7DC" w:sz="4"/>
          <w:left w:val="single" w:color="B4C7DC" w:sz="4"/>
          <w:bottom w:val="single" w:color="B4C7DC" w:sz="4"/>
          <w:right w:val="single" w:color="B4C7DC" w:sz="4"/>
          <w:insideH w:val="single" w:color="D9D9D9" w:sz="2"/>
          <w:insideV w:val="single" w:color="D9D9D9" w:sz="2"/>
        </w:tblBorders>
      </w:tblPr>
      <w:tblGrid>
        <w:gridCol w:w="3000"/>
        <w:gridCol w:w="650"/>
        <w:gridCol w:w="1050"/>
        <w:gridCol w:w="1050"/>
        <w:gridCol w:w="1050"/>
        <w:gridCol w:w="1250"/>
      </w:tblGrid>
      <w:tr>
        <w:trPr>
          <w:cantSplit/>
          <w:tblHeader/>
        </w:trPr>
        <w:tc>
          <w:tcPr>
            <w:tcW w:type="dxa" w:w="30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GICS Industry Group</w:t>
            </w:r>
          </w:p>
        </w:tc>
        <w:tc>
          <w:tcPr>
            <w:tcW w:type="dxa" w:w="6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N</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5D 평균</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중앙값</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상승 비율</w:t>
            </w:r>
          </w:p>
        </w:tc>
        <w:tc>
          <w:tcPr>
            <w:tcW w:type="dxa" w:w="12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섹터 대비</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Real Estate Management &amp; Development</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37</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+1.1%</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+1.4%</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81%</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+0.0%p</w:t>
            </w:r>
          </w:p>
        </w:tc>
      </w:tr>
    </w:tbl>
    <w:p>
      <w:pPr>
        <w:keepNext w:val="false"/>
        <w:spacing w:after="40" w:before="0" w:line="286"/>
        <w:jc w:val="left"/>
      </w:pPr>
      <w:r>
        <w:rPr>
          <w:rFonts w:ascii="Malgun Gothic" w:cs="Malgun Gothic" w:eastAsia="Malgun Gothic" w:hAnsi="Malgun Gothic"/>
          <w:b w:val="false"/>
          <w:bCs w:val="false"/>
          <w:i w:val="false"/>
          <w:iCs w:val="false"/>
          <w:color w:val="111111"/>
          <w:sz w:val="4"/>
          <w:szCs w:val="4"/>
        </w:rPr>
        <w:t xml:space="preserve"/>
      </w:r>
    </w:p>
    <w:p>
      <w:pPr>
        <w:pStyle w:val="Heading2"/>
        <w:keepNext/>
        <w:spacing w:after="100" w:before="170"/>
      </w:pPr>
      <w:r>
        <w:t xml:space="preserve">상승 종목과 하락 종목</w:t>
      </w:r>
    </w:p>
    <w:p>
      <w:pPr>
        <w:keepNext w:val="false"/>
        <w:spacing w:after="75" w:before="0" w:line="286"/>
        <w:jc w:val="left"/>
      </w:pPr>
      <w:r>
        <w:rPr>
          <w:rFonts w:ascii="Malgun Gothic" w:cs="Malgun Gothic" w:eastAsia="Malgun Gothic" w:hAnsi="Malgun Gothic"/>
          <w:b w:val="false"/>
          <w:bCs w:val="false"/>
          <w:i w:val="false"/>
          <w:iCs w:val="false"/>
          <w:color w:val="666666"/>
          <w:sz w:val="16"/>
          <w:szCs w:val="16"/>
        </w:rPr>
        <w:t xml:space="preserve">섹터 내 유효 종목을 수익률 순으로 정렬해 상승 상위와 하락 하위를 각각 최대 8개 표시했다.</w:t>
      </w:r>
    </w:p>
    <w:tbl>
      <w:tblPr>
        <w:tblW w:type="dxa" w:w="9360"/>
        <w:tblBorders>
          <w:top w:val="single" w:color="B4C7DC" w:sz="4"/>
          <w:left w:val="single" w:color="B4C7DC" w:sz="4"/>
          <w:bottom w:val="single" w:color="B4C7DC" w:sz="4"/>
          <w:right w:val="single" w:color="B4C7DC" w:sz="4"/>
          <w:insideH w:val="single" w:color="D9D9D9" w:sz="2"/>
          <w:insideV w:val="single" w:color="D9D9D9" w:sz="2"/>
        </w:tblBorders>
      </w:tblPr>
      <w:tblGrid>
        <w:gridCol w:w="1500"/>
        <w:gridCol w:w="1050"/>
        <w:gridCol w:w="1430"/>
        <w:gridCol w:w="700"/>
        <w:gridCol w:w="1500"/>
        <w:gridCol w:w="1050"/>
        <w:gridCol w:w="1430"/>
        <w:gridCol w:w="700"/>
      </w:tblGrid>
      <w:tr>
        <w:trPr>
          <w:cantSplit/>
          <w:tblHeader/>
        </w:trPr>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상승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하락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TOC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8841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+11.5%</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LAND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8918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-9.1%</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Katitas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8919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+6.6%</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SRE Holdings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2980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-7.5%</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robot home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1435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+3.9%</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Kasumigaseki Capital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3498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-3.3%</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JINUSHI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3252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+3.5%</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Miyakoshi Holdings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6620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-2.7%</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Leopalace21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8848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+3.4%</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Sumitomo Realty &amp; Development</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8830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-1.3%</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Mitsui Fudosan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8801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+2.8%</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Mirarth Holdings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8897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-0.4%</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Sun Frontier Fudousan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8934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+2.5%</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Japan Property Management Cent</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3276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-0.0%</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Daito Trust Construction Co Lt</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1878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Real Estate Management &amp; Development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+2.5%</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4"/>
                <w:szCs w:val="14"/>
              </w:rPr>
              <w:t xml:space="preserve"/>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
            </w:r>
          </w:p>
        </w:tc>
      </w:tr>
    </w:tbl>
    <w:p>
      <w:r>
        <w:br w:type="page"/>
      </w:r>
    </w:p>
    <w:p>
      <w:pPr>
        <w:pStyle w:val="Heading1"/>
        <w:keepNext/>
        <w:spacing w:after="100" w:before="220"/>
      </w:pPr>
      <w:r>
        <w:t xml:space="preserve">5. Consumer Staples · 강세 확산</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성과  </w:t>
      </w:r>
      <w:r>
        <w:rPr>
          <w:rFonts w:ascii="Malgun Gothic" w:cs="Malgun Gothic" w:eastAsia="Malgun Gothic" w:hAnsi="Malgun Gothic"/>
          <w:b w:val="false"/>
          <w:bCs w:val="false"/>
          <w:i w:val="false"/>
          <w:iCs w:val="false"/>
          <w:color w:val="111111"/>
          <w:sz w:val="19"/>
          <w:szCs w:val="19"/>
        </w:rPr>
        <w:t xml:space="preserve">5거래일 동일가중 평균 +1.1%, 중앙값 +1.2%, 시장 대비 +1.7%p다. 상승 종목 비율은 72%, 유효 표본은 143개다.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구조  </w:t>
      </w:r>
      <w:r>
        <w:rPr>
          <w:rFonts w:ascii="Malgun Gothic" w:cs="Malgun Gothic" w:eastAsia="Malgun Gothic" w:hAnsi="Malgun Gothic"/>
          <w:b w:val="false"/>
          <w:bCs w:val="false"/>
          <w:i w:val="false"/>
          <w:iCs w:val="false"/>
          <w:color w:val="111111"/>
          <w:sz w:val="19"/>
          <w:szCs w:val="19"/>
        </w:rPr>
        <w:t xml:space="preserve">3개 산업그룹 중 Household &amp; Personal Products가 +1.5%로 가장 강했고, Food, Beverage &amp; Tobacco가 +0.9%로 가장 약했다. 산업 간 스프레드는 +0.6%p다.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해석  </w:t>
      </w:r>
      <w:r>
        <w:rPr>
          <w:rFonts w:ascii="Malgun Gothic" w:cs="Malgun Gothic" w:eastAsia="Malgun Gothic" w:hAnsi="Malgun Gothic"/>
          <w:b w:val="false"/>
          <w:bCs w:val="false"/>
          <w:i w:val="false"/>
          <w:iCs w:val="false"/>
          <w:color w:val="111111"/>
          <w:sz w:val="19"/>
          <w:szCs w:val="19"/>
        </w:rPr>
        <w:t xml:space="preserve">시장 대비 초과수익과 과반 상승 breadth가 함께 나타나 섹터 내부 확산이 확인된다. 종목 간 분산은 시장 전체보다 낮아 방향성이 비교적 고르게 나타났다.</w:t>
      </w:r>
    </w:p>
    <w:p>
      <w:pPr>
        <w:spacing w:after="55" w:before="60"/>
        <w:jc w:val="center"/>
      </w:pPr>
      <w:r>
        <w:drawing>
          <wp:inline distT="0" distB="0" distL="0" distR="0">
            <wp:extent cx="6429375" cy="2505075"/>
            <wp:effectExtent t="0" r="0" b="0" l="0"/>
            <wp:docPr id="1" name="topix_consumer_staples_industries_5d_20260821.png" descr="topix_consumer_staples_industries_5d_20260821.png" title="topix_consumer_staples_industries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29375" cy="250507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8. Consumer Staples 산업그룹 최근 5거래일 성과</w:t>
      </w:r>
    </w:p>
    <w:tbl>
      <w:tblPr>
        <w:tblW w:type="dxa" w:w="8050"/>
        <w:tblBorders>
          <w:top w:val="single" w:color="B4C7DC" w:sz="4"/>
          <w:left w:val="single" w:color="B4C7DC" w:sz="4"/>
          <w:bottom w:val="single" w:color="B4C7DC" w:sz="4"/>
          <w:right w:val="single" w:color="B4C7DC" w:sz="4"/>
          <w:insideH w:val="single" w:color="D9D9D9" w:sz="2"/>
          <w:insideV w:val="single" w:color="D9D9D9" w:sz="2"/>
        </w:tblBorders>
      </w:tblPr>
      <w:tblGrid>
        <w:gridCol w:w="3000"/>
        <w:gridCol w:w="650"/>
        <w:gridCol w:w="1050"/>
        <w:gridCol w:w="1050"/>
        <w:gridCol w:w="1050"/>
        <w:gridCol w:w="1250"/>
      </w:tblGrid>
      <w:tr>
        <w:trPr>
          <w:cantSplit/>
          <w:tblHeader/>
        </w:trPr>
        <w:tc>
          <w:tcPr>
            <w:tcW w:type="dxa" w:w="30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GICS Industry Group</w:t>
            </w:r>
          </w:p>
        </w:tc>
        <w:tc>
          <w:tcPr>
            <w:tcW w:type="dxa" w:w="6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N</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5D 평균</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중앙값</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상승 비율</w:t>
            </w:r>
          </w:p>
        </w:tc>
        <w:tc>
          <w:tcPr>
            <w:tcW w:type="dxa" w:w="12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섹터 대비</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Household &amp; Personal Products</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22</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+1.5%</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+1.2%</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77%</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+0.4%p</w:t>
            </w:r>
          </w:p>
        </w:tc>
      </w:tr>
      <w:tr>
        <w:trPr>
          <w:cantSplit/>
        </w:trPr>
        <w:tc>
          <w:tcPr>
            <w:tcW w:type="dxa" w:w="30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Consumer Staples Distribution &amp; Retail</w:t>
            </w:r>
          </w:p>
        </w:tc>
        <w:tc>
          <w:tcPr>
            <w:tcW w:type="dxa" w:w="6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46</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+1.2%</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+1.4%</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74%</w:t>
            </w:r>
          </w:p>
        </w:tc>
        <w:tc>
          <w:tcPr>
            <w:tcW w:type="dxa" w:w="12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+0.1%p</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Food, Beverage &amp; Tobacco</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75</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+0.9%</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+1.2%</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69%</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-0.2%p</w:t>
            </w:r>
          </w:p>
        </w:tc>
      </w:tr>
    </w:tbl>
    <w:p>
      <w:pPr>
        <w:keepNext w:val="false"/>
        <w:spacing w:after="40" w:before="0" w:line="286"/>
        <w:jc w:val="left"/>
      </w:pPr>
      <w:r>
        <w:rPr>
          <w:rFonts w:ascii="Malgun Gothic" w:cs="Malgun Gothic" w:eastAsia="Malgun Gothic" w:hAnsi="Malgun Gothic"/>
          <w:b w:val="false"/>
          <w:bCs w:val="false"/>
          <w:i w:val="false"/>
          <w:iCs w:val="false"/>
          <w:color w:val="111111"/>
          <w:sz w:val="4"/>
          <w:szCs w:val="4"/>
        </w:rPr>
        <w:t xml:space="preserve"/>
      </w:r>
    </w:p>
    <w:p>
      <w:pPr>
        <w:pStyle w:val="Heading2"/>
        <w:keepNext/>
        <w:spacing w:after="100" w:before="170"/>
      </w:pPr>
      <w:r>
        <w:t xml:space="preserve">상승 종목과 하락 종목</w:t>
      </w:r>
    </w:p>
    <w:p>
      <w:pPr>
        <w:keepNext w:val="false"/>
        <w:spacing w:after="75" w:before="0" w:line="286"/>
        <w:jc w:val="left"/>
      </w:pPr>
      <w:r>
        <w:rPr>
          <w:rFonts w:ascii="Malgun Gothic" w:cs="Malgun Gothic" w:eastAsia="Malgun Gothic" w:hAnsi="Malgun Gothic"/>
          <w:b w:val="false"/>
          <w:bCs w:val="false"/>
          <w:i w:val="false"/>
          <w:iCs w:val="false"/>
          <w:color w:val="666666"/>
          <w:sz w:val="16"/>
          <w:szCs w:val="16"/>
        </w:rPr>
        <w:t xml:space="preserve">섹터 내 유효 종목을 수익률 순으로 정렬해 상승 상위와 하락 하위를 각각 최대 8개 표시했다.</w:t>
      </w:r>
    </w:p>
    <w:tbl>
      <w:tblPr>
        <w:tblW w:type="dxa" w:w="9360"/>
        <w:tblBorders>
          <w:top w:val="single" w:color="B4C7DC" w:sz="4"/>
          <w:left w:val="single" w:color="B4C7DC" w:sz="4"/>
          <w:bottom w:val="single" w:color="B4C7DC" w:sz="4"/>
          <w:right w:val="single" w:color="B4C7DC" w:sz="4"/>
          <w:insideH w:val="single" w:color="D9D9D9" w:sz="2"/>
          <w:insideV w:val="single" w:color="D9D9D9" w:sz="2"/>
        </w:tblBorders>
      </w:tblPr>
      <w:tblGrid>
        <w:gridCol w:w="1500"/>
        <w:gridCol w:w="1050"/>
        <w:gridCol w:w="1430"/>
        <w:gridCol w:w="700"/>
        <w:gridCol w:w="1500"/>
        <w:gridCol w:w="1050"/>
        <w:gridCol w:w="1430"/>
        <w:gridCol w:w="700"/>
      </w:tblGrid>
      <w:tr>
        <w:trPr>
          <w:cantSplit/>
          <w:tblHeader/>
        </w:trPr>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상승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하락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Nippon Beet Sugar Manufacturin</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2108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Food, Beverage &amp; Tobacco</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+6.8%</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Lifedrink Co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2585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Food, Beverage &amp; Tobacco</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-10.4%</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YA-MAN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6630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Household &amp; Personal Products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+6.3%</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Sapporo Breweries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2501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Food, Beverage &amp; Tobacco</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-6.5%</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Hokuto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1379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Food, Beverage &amp; Tobacco</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+5.9%</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Qol Holdings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3034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Staples Distribution &amp; Retail</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-4.9%</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Medical System Network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4350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Staples Distribution &amp; Retail</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+5.9%</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Sugi Holdings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7649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Staples Distribution &amp; Retail</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-4.3%</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Takara Holdings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2531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Food, Beverage &amp; Tobacco</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+5.4%</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Asahi Group Holdings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2502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Food, Beverage &amp; Tobacco</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-3.6%</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Transaction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7818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Household &amp; Personal Products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+4.9%</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Ajinomoto Co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2802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Food, Beverage &amp; Tobacco</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-3.1%</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Oenon Holdings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2533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Food, Beverage &amp; Tobacco</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+4.6%</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Coca-Cola Bottlers Japan Holdi</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2579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Food, Beverage &amp; Tobacco</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-2.9%</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Genky DrugStores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9267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Staples Distribution &amp; Retail</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+4.2%</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Kotobuki Spirits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2222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Food, Beverage &amp; Tobacco</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-2.4%</w:t>
            </w:r>
          </w:p>
        </w:tc>
      </w:tr>
    </w:tbl>
    <w:p>
      <w:r>
        <w:br w:type="page"/>
      </w:r>
    </w:p>
    <w:p>
      <w:pPr>
        <w:pStyle w:val="Heading1"/>
        <w:keepNext/>
        <w:spacing w:after="100" w:before="220"/>
      </w:pPr>
      <w:r>
        <w:t xml:space="preserve">6. Health Care · 강세 확산</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성과  </w:t>
      </w:r>
      <w:r>
        <w:rPr>
          <w:rFonts w:ascii="Malgun Gothic" w:cs="Malgun Gothic" w:eastAsia="Malgun Gothic" w:hAnsi="Malgun Gothic"/>
          <w:b w:val="false"/>
          <w:bCs w:val="false"/>
          <w:i w:val="false"/>
          <w:iCs w:val="false"/>
          <w:color w:val="111111"/>
          <w:sz w:val="19"/>
          <w:szCs w:val="19"/>
        </w:rPr>
        <w:t xml:space="preserve">5거래일 동일가중 평균 +1.0%, 중앙값 +0.9%, 시장 대비 +1.6%p다. 상승 종목 비율은 62%, 유효 표본은 79개다.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구조  </w:t>
      </w:r>
      <w:r>
        <w:rPr>
          <w:rFonts w:ascii="Malgun Gothic" w:cs="Malgun Gothic" w:eastAsia="Malgun Gothic" w:hAnsi="Malgun Gothic"/>
          <w:b w:val="false"/>
          <w:bCs w:val="false"/>
          <w:i w:val="false"/>
          <w:iCs w:val="false"/>
          <w:color w:val="111111"/>
          <w:sz w:val="19"/>
          <w:szCs w:val="19"/>
        </w:rPr>
        <w:t xml:space="preserve">2개 산업그룹 중 Pharmaceuticals, Biotechnology &amp; Life Sciences가 +1.1%로 가장 강했고, Health Care Equipment &amp; Services가 +0.9%로 가장 약했다. 산업 간 스프레드는 +0.2%p다.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해석  </w:t>
      </w:r>
      <w:r>
        <w:rPr>
          <w:rFonts w:ascii="Malgun Gothic" w:cs="Malgun Gothic" w:eastAsia="Malgun Gothic" w:hAnsi="Malgun Gothic"/>
          <w:b w:val="false"/>
          <w:bCs w:val="false"/>
          <w:i w:val="false"/>
          <w:iCs w:val="false"/>
          <w:color w:val="111111"/>
          <w:sz w:val="19"/>
          <w:szCs w:val="19"/>
        </w:rPr>
        <w:t xml:space="preserve">시장 대비 초과수익과 과반 상승 breadth가 함께 나타나 섹터 내부 확산이 확인된다. 종목 간 분산은 시장 전체보다 낮아 방향성이 비교적 고르게 나타났다.</w:t>
      </w:r>
    </w:p>
    <w:p>
      <w:pPr>
        <w:spacing w:after="55" w:before="60"/>
        <w:jc w:val="center"/>
      </w:pPr>
      <w:r>
        <w:drawing>
          <wp:inline distT="0" distB="0" distL="0" distR="0">
            <wp:extent cx="6429375" cy="2505075"/>
            <wp:effectExtent t="0" r="0" b="0" l="0"/>
            <wp:docPr id="1" name="topix_health_care_industries_5d_20260821.png" descr="topix_health_care_industries_5d_20260821.png" title="topix_health_care_industries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29375" cy="250507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9. Health Care 산업그룹 최근 5거래일 성과</w:t>
      </w:r>
    </w:p>
    <w:tbl>
      <w:tblPr>
        <w:tblW w:type="dxa" w:w="8050"/>
        <w:tblBorders>
          <w:top w:val="single" w:color="B4C7DC" w:sz="4"/>
          <w:left w:val="single" w:color="B4C7DC" w:sz="4"/>
          <w:bottom w:val="single" w:color="B4C7DC" w:sz="4"/>
          <w:right w:val="single" w:color="B4C7DC" w:sz="4"/>
          <w:insideH w:val="single" w:color="D9D9D9" w:sz="2"/>
          <w:insideV w:val="single" w:color="D9D9D9" w:sz="2"/>
        </w:tblBorders>
      </w:tblPr>
      <w:tblGrid>
        <w:gridCol w:w="3000"/>
        <w:gridCol w:w="650"/>
        <w:gridCol w:w="1050"/>
        <w:gridCol w:w="1050"/>
        <w:gridCol w:w="1050"/>
        <w:gridCol w:w="1250"/>
      </w:tblGrid>
      <w:tr>
        <w:trPr>
          <w:cantSplit/>
          <w:tblHeader/>
        </w:trPr>
        <w:tc>
          <w:tcPr>
            <w:tcW w:type="dxa" w:w="30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GICS Industry Group</w:t>
            </w:r>
          </w:p>
        </w:tc>
        <w:tc>
          <w:tcPr>
            <w:tcW w:type="dxa" w:w="6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N</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5D 평균</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중앙값</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상승 비율</w:t>
            </w:r>
          </w:p>
        </w:tc>
        <w:tc>
          <w:tcPr>
            <w:tcW w:type="dxa" w:w="12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섹터 대비</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Pharmaceuticals, Biotechnology &amp; Life Sciences</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32</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+1.1%</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+0.8%</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66%</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+0.1%p</w:t>
            </w:r>
          </w:p>
        </w:tc>
      </w:tr>
      <w:tr>
        <w:trPr>
          <w:cantSplit/>
        </w:trPr>
        <w:tc>
          <w:tcPr>
            <w:tcW w:type="dxa" w:w="30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Health Care Equipment &amp; Services</w:t>
            </w:r>
          </w:p>
        </w:tc>
        <w:tc>
          <w:tcPr>
            <w:tcW w:type="dxa" w:w="6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47</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+0.9%</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+1.1%</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60%</w:t>
            </w:r>
          </w:p>
        </w:tc>
        <w:tc>
          <w:tcPr>
            <w:tcW w:type="dxa" w:w="12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-0.1%p</w:t>
            </w:r>
          </w:p>
        </w:tc>
      </w:tr>
    </w:tbl>
    <w:p>
      <w:pPr>
        <w:keepNext w:val="false"/>
        <w:spacing w:after="40" w:before="0" w:line="286"/>
        <w:jc w:val="left"/>
      </w:pPr>
      <w:r>
        <w:rPr>
          <w:rFonts w:ascii="Malgun Gothic" w:cs="Malgun Gothic" w:eastAsia="Malgun Gothic" w:hAnsi="Malgun Gothic"/>
          <w:b w:val="false"/>
          <w:bCs w:val="false"/>
          <w:i w:val="false"/>
          <w:iCs w:val="false"/>
          <w:color w:val="111111"/>
          <w:sz w:val="4"/>
          <w:szCs w:val="4"/>
        </w:rPr>
        <w:t xml:space="preserve"/>
      </w:r>
    </w:p>
    <w:p>
      <w:pPr>
        <w:pStyle w:val="Heading2"/>
        <w:keepNext/>
        <w:spacing w:after="100" w:before="170"/>
      </w:pPr>
      <w:r>
        <w:t xml:space="preserve">상승 종목과 하락 종목</w:t>
      </w:r>
    </w:p>
    <w:p>
      <w:pPr>
        <w:keepNext w:val="false"/>
        <w:spacing w:after="75" w:before="0" w:line="286"/>
        <w:jc w:val="left"/>
      </w:pPr>
      <w:r>
        <w:rPr>
          <w:rFonts w:ascii="Malgun Gothic" w:cs="Malgun Gothic" w:eastAsia="Malgun Gothic" w:hAnsi="Malgun Gothic"/>
          <w:b w:val="false"/>
          <w:bCs w:val="false"/>
          <w:i w:val="false"/>
          <w:iCs w:val="false"/>
          <w:color w:val="666666"/>
          <w:sz w:val="16"/>
          <w:szCs w:val="16"/>
        </w:rPr>
        <w:t xml:space="preserve">섹터 내 유효 종목을 수익률 순으로 정렬해 상승 상위와 하락 하위를 각각 최대 8개 표시했다.</w:t>
      </w:r>
    </w:p>
    <w:tbl>
      <w:tblPr>
        <w:tblW w:type="dxa" w:w="9360"/>
        <w:tblBorders>
          <w:top w:val="single" w:color="B4C7DC" w:sz="4"/>
          <w:left w:val="single" w:color="B4C7DC" w:sz="4"/>
          <w:bottom w:val="single" w:color="B4C7DC" w:sz="4"/>
          <w:right w:val="single" w:color="B4C7DC" w:sz="4"/>
          <w:insideH w:val="single" w:color="D9D9D9" w:sz="2"/>
          <w:insideV w:val="single" w:color="D9D9D9" w:sz="2"/>
        </w:tblBorders>
      </w:tblPr>
      <w:tblGrid>
        <w:gridCol w:w="1500"/>
        <w:gridCol w:w="1050"/>
        <w:gridCol w:w="1430"/>
        <w:gridCol w:w="700"/>
        <w:gridCol w:w="1500"/>
        <w:gridCol w:w="1050"/>
        <w:gridCol w:w="1430"/>
        <w:gridCol w:w="700"/>
      </w:tblGrid>
      <w:tr>
        <w:trPr>
          <w:cantSplit/>
          <w:tblHeader/>
        </w:trPr>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상승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하락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Amvis Holdings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7071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+9.1%</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Hoya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7741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-6.6%</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PeptiDream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4587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Pharmaceuticals, Biotechnology &amp; Life Sciences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+8.0%</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Japan Medical Dynamic Marketin</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7600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-6.3%</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Medley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4480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+6.9%</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Rion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6823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-5.2%</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Value HR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6078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+6.4%</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Shin Nippon Biomedical Laborat</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2395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Pharmaceuticals, Biotechnology &amp; Life Sciences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-4.5%</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EM Systems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4820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+5.5%</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Terumo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4543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-3.9%</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Toho Holdings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8129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+4.7%</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JMDC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4483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-3.0%</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Asahi Intecc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7747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+4.4%</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Kitazato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368A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-2.9%</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PHC Holdings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6523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+4.1%</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Menicon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7780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Health Care Equipment &amp;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-2.3%</w:t>
            </w:r>
          </w:p>
        </w:tc>
      </w:tr>
    </w:tbl>
    <w:p>
      <w:r>
        <w:br w:type="page"/>
      </w:r>
    </w:p>
    <w:p>
      <w:pPr>
        <w:pStyle w:val="Heading1"/>
        <w:keepNext/>
        <w:spacing w:after="100" w:before="220"/>
      </w:pPr>
      <w:r>
        <w:t xml:space="preserve">7. Consumer Discretionary · 강세 확산</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성과  </w:t>
      </w:r>
      <w:r>
        <w:rPr>
          <w:rFonts w:ascii="Malgun Gothic" w:cs="Malgun Gothic" w:eastAsia="Malgun Gothic" w:hAnsi="Malgun Gothic"/>
          <w:b w:val="false"/>
          <w:bCs w:val="false"/>
          <w:i w:val="false"/>
          <w:iCs w:val="false"/>
          <w:color w:val="111111"/>
          <w:sz w:val="19"/>
          <w:szCs w:val="19"/>
        </w:rPr>
        <w:t xml:space="preserve">5거래일 동일가중 평균 +0.3%, 중앙값 +0.7%, 시장 대비 +1.0%p다. 상승 종목 비율은 58%, 유효 표본은 290개다.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구조  </w:t>
      </w:r>
      <w:r>
        <w:rPr>
          <w:rFonts w:ascii="Malgun Gothic" w:cs="Malgun Gothic" w:eastAsia="Malgun Gothic" w:hAnsi="Malgun Gothic"/>
          <w:b w:val="false"/>
          <w:bCs w:val="false"/>
          <w:i w:val="false"/>
          <w:iCs w:val="false"/>
          <w:color w:val="111111"/>
          <w:sz w:val="19"/>
          <w:szCs w:val="19"/>
        </w:rPr>
        <w:t xml:space="preserve">4개 산업그룹 중 Consumer Services가 +1.4%로 가장 강했고, Consumer Durables &amp; Apparel가 -0.9%로 가장 약했다. 산업 간 스프레드는 +2.3%p다.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해석  </w:t>
      </w:r>
      <w:r>
        <w:rPr>
          <w:rFonts w:ascii="Malgun Gothic" w:cs="Malgun Gothic" w:eastAsia="Malgun Gothic" w:hAnsi="Malgun Gothic"/>
          <w:b w:val="false"/>
          <w:bCs w:val="false"/>
          <w:i w:val="false"/>
          <w:iCs w:val="false"/>
          <w:color w:val="111111"/>
          <w:sz w:val="19"/>
          <w:szCs w:val="19"/>
        </w:rPr>
        <w:t xml:space="preserve">시장 대비 초과수익과 과반 상승 breadth가 함께 나타나 섹터 내부 확산이 확인된다. 종목 간 분산은 시장 전체보다 낮아 방향성이 비교적 고르게 나타났다.</w:t>
      </w:r>
    </w:p>
    <w:p>
      <w:pPr>
        <w:spacing w:after="55" w:before="60"/>
        <w:jc w:val="center"/>
      </w:pPr>
      <w:r>
        <w:drawing>
          <wp:inline distT="0" distB="0" distL="0" distR="0">
            <wp:extent cx="6429375" cy="2505075"/>
            <wp:effectExtent t="0" r="0" b="0" l="0"/>
            <wp:docPr id="1" name="topix_consumer_discretionary_industries_5d_20260821.png" descr="topix_consumer_discretionary_industries_5d_20260821.png" title="topix_consumer_discretionary_industries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29375" cy="250507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10. Consumer Discretionary 산업그룹 최근 5거래일 성과</w:t>
      </w:r>
    </w:p>
    <w:tbl>
      <w:tblPr>
        <w:tblW w:type="dxa" w:w="8050"/>
        <w:tblBorders>
          <w:top w:val="single" w:color="B4C7DC" w:sz="4"/>
          <w:left w:val="single" w:color="B4C7DC" w:sz="4"/>
          <w:bottom w:val="single" w:color="B4C7DC" w:sz="4"/>
          <w:right w:val="single" w:color="B4C7DC" w:sz="4"/>
          <w:insideH w:val="single" w:color="D9D9D9" w:sz="2"/>
          <w:insideV w:val="single" w:color="D9D9D9" w:sz="2"/>
        </w:tblBorders>
      </w:tblPr>
      <w:tblGrid>
        <w:gridCol w:w="3000"/>
        <w:gridCol w:w="650"/>
        <w:gridCol w:w="1050"/>
        <w:gridCol w:w="1050"/>
        <w:gridCol w:w="1050"/>
        <w:gridCol w:w="1250"/>
      </w:tblGrid>
      <w:tr>
        <w:trPr>
          <w:cantSplit/>
          <w:tblHeader/>
        </w:trPr>
        <w:tc>
          <w:tcPr>
            <w:tcW w:type="dxa" w:w="30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GICS Industry Group</w:t>
            </w:r>
          </w:p>
        </w:tc>
        <w:tc>
          <w:tcPr>
            <w:tcW w:type="dxa" w:w="6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N</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5D 평균</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중앙값</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상승 비율</w:t>
            </w:r>
          </w:p>
        </w:tc>
        <w:tc>
          <w:tcPr>
            <w:tcW w:type="dxa" w:w="12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섹터 대비</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Consumer Services</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79</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+1.4%</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+1.4%</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76%</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+1.1%p</w:t>
            </w:r>
          </w:p>
        </w:tc>
      </w:tr>
      <w:tr>
        <w:trPr>
          <w:cantSplit/>
        </w:trPr>
        <w:tc>
          <w:tcPr>
            <w:tcW w:type="dxa" w:w="30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Consumer Discretionary Distribution &amp; Retail</w:t>
            </w:r>
          </w:p>
        </w:tc>
        <w:tc>
          <w:tcPr>
            <w:tcW w:type="dxa" w:w="6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76</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+0.9%</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+1.0%</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63%</w:t>
            </w:r>
          </w:p>
        </w:tc>
        <w:tc>
          <w:tcPr>
            <w:tcW w:type="dxa" w:w="12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+0.6%p</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Automobiles &amp; Components</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62</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6"/>
                <w:szCs w:val="16"/>
              </w:rPr>
              <w:t xml:space="preserve">-0.3%</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-0.2%</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42%</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-0.7%p</w:t>
            </w:r>
          </w:p>
        </w:tc>
      </w:tr>
      <w:tr>
        <w:trPr>
          <w:cantSplit/>
        </w:trPr>
        <w:tc>
          <w:tcPr>
            <w:tcW w:type="dxa" w:w="30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Consumer Durables &amp; Apparel</w:t>
            </w:r>
          </w:p>
        </w:tc>
        <w:tc>
          <w:tcPr>
            <w:tcW w:type="dxa" w:w="6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73</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6"/>
                <w:szCs w:val="16"/>
              </w:rPr>
              <w:t xml:space="preserve">-0.9%</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+0.0%</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48%</w:t>
            </w:r>
          </w:p>
        </w:tc>
        <w:tc>
          <w:tcPr>
            <w:tcW w:type="dxa" w:w="12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-1.2%p</w:t>
            </w:r>
          </w:p>
        </w:tc>
      </w:tr>
    </w:tbl>
    <w:p>
      <w:pPr>
        <w:keepNext w:val="false"/>
        <w:spacing w:after="40" w:before="0" w:line="286"/>
        <w:jc w:val="left"/>
      </w:pPr>
      <w:r>
        <w:rPr>
          <w:rFonts w:ascii="Malgun Gothic" w:cs="Malgun Gothic" w:eastAsia="Malgun Gothic" w:hAnsi="Malgun Gothic"/>
          <w:b w:val="false"/>
          <w:bCs w:val="false"/>
          <w:i w:val="false"/>
          <w:iCs w:val="false"/>
          <w:color w:val="111111"/>
          <w:sz w:val="4"/>
          <w:szCs w:val="4"/>
        </w:rPr>
        <w:t xml:space="preserve"/>
      </w:r>
    </w:p>
    <w:p>
      <w:pPr>
        <w:pStyle w:val="Heading2"/>
        <w:keepNext/>
        <w:spacing w:after="100" w:before="170"/>
      </w:pPr>
      <w:r>
        <w:t xml:space="preserve">상승 종목과 하락 종목</w:t>
      </w:r>
    </w:p>
    <w:p>
      <w:pPr>
        <w:keepNext w:val="false"/>
        <w:spacing w:after="75" w:before="0" w:line="286"/>
        <w:jc w:val="left"/>
      </w:pPr>
      <w:r>
        <w:rPr>
          <w:rFonts w:ascii="Malgun Gothic" w:cs="Malgun Gothic" w:eastAsia="Malgun Gothic" w:hAnsi="Malgun Gothic"/>
          <w:b w:val="false"/>
          <w:bCs w:val="false"/>
          <w:i w:val="false"/>
          <w:iCs w:val="false"/>
          <w:color w:val="666666"/>
          <w:sz w:val="16"/>
          <w:szCs w:val="16"/>
        </w:rPr>
        <w:t xml:space="preserve">섹터 내 유효 종목을 수익률 순으로 정렬해 상승 상위와 하락 하위를 각각 최대 8개 표시했다.</w:t>
      </w:r>
    </w:p>
    <w:tbl>
      <w:tblPr>
        <w:tblW w:type="dxa" w:w="9360"/>
        <w:tblBorders>
          <w:top w:val="single" w:color="B4C7DC" w:sz="4"/>
          <w:left w:val="single" w:color="B4C7DC" w:sz="4"/>
          <w:bottom w:val="single" w:color="B4C7DC" w:sz="4"/>
          <w:right w:val="single" w:color="B4C7DC" w:sz="4"/>
          <w:insideH w:val="single" w:color="D9D9D9" w:sz="2"/>
          <w:insideV w:val="single" w:color="D9D9D9" w:sz="2"/>
        </w:tblBorders>
      </w:tblPr>
      <w:tblGrid>
        <w:gridCol w:w="1500"/>
        <w:gridCol w:w="1050"/>
        <w:gridCol w:w="1430"/>
        <w:gridCol w:w="700"/>
        <w:gridCol w:w="1500"/>
        <w:gridCol w:w="1050"/>
        <w:gridCol w:w="1430"/>
        <w:gridCol w:w="700"/>
      </w:tblGrid>
      <w:tr>
        <w:trPr>
          <w:cantSplit/>
          <w:tblHeader/>
        </w:trPr>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상승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하락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Matsuya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8237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Discretionary Distribution &amp; Retail</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+24.0%</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Pan Pacific International Hold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7532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Discretionary Distribution &amp; Retail</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-11.7%</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Suncall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5985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Automobiles &amp; Components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+16.9%</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Unitika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3103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Durables &amp; Apparel</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-11.5%</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Fujita Kanko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9722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+13.6%</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Asics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7936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Durables &amp; Apparel</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-11.2%</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IBJ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6071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+13.6%</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Roland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7944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Durables &amp; Apparel</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-10.3%</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Kojima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7513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Discretionary Distribution &amp; Retail</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+9.3%</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Airtrip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6191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-10.1%</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Mitsuba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7280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Automobiles &amp; Components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+7.2%</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Niterra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5334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Automobiles &amp; Components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-9.5%</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Pepper Food Service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3053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+7.1%</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Musashi Seimitsu Industry Co L</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7220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Automobiles &amp; Components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-9.0%</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Kyoritsu Maintenance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9616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+6.2%</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Panasonic Holdings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6752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Consumer Durables &amp; Apparel</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-8.9%</w:t>
            </w:r>
          </w:p>
        </w:tc>
      </w:tr>
    </w:tbl>
    <w:p>
      <w:r>
        <w:br w:type="page"/>
      </w:r>
    </w:p>
    <w:p>
      <w:pPr>
        <w:pStyle w:val="Heading1"/>
        <w:keepNext/>
        <w:spacing w:after="100" w:before="220"/>
      </w:pPr>
      <w:r>
        <w:t xml:space="preserve">8. Industrials · 약세 확산</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성과  </w:t>
      </w:r>
      <w:r>
        <w:rPr>
          <w:rFonts w:ascii="Malgun Gothic" w:cs="Malgun Gothic" w:eastAsia="Malgun Gothic" w:hAnsi="Malgun Gothic"/>
          <w:b w:val="false"/>
          <w:bCs w:val="false"/>
          <w:i w:val="false"/>
          <w:iCs w:val="false"/>
          <w:color w:val="111111"/>
          <w:sz w:val="19"/>
          <w:szCs w:val="19"/>
        </w:rPr>
        <w:t xml:space="preserve">5거래일 동일가중 평균 -1.1%, 중앙값 -0.3%, 시장 대비 -0.4%p다. 상승 종목 비율은 44%, 유효 표본은 441개다.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구조  </w:t>
      </w:r>
      <w:r>
        <w:rPr>
          <w:rFonts w:ascii="Malgun Gothic" w:cs="Malgun Gothic" w:eastAsia="Malgun Gothic" w:hAnsi="Malgun Gothic"/>
          <w:b w:val="false"/>
          <w:bCs w:val="false"/>
          <w:i w:val="false"/>
          <w:iCs w:val="false"/>
          <w:color w:val="111111"/>
          <w:sz w:val="19"/>
          <w:szCs w:val="19"/>
        </w:rPr>
        <w:t xml:space="preserve">3개 산업그룹 중 Transportation가 +1.7%로 가장 강했고, Capital Goods가 -2.2%로 가장 약했다. 산업 간 스프레드는 +3.9%p다.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해석  </w:t>
      </w:r>
      <w:r>
        <w:rPr>
          <w:rFonts w:ascii="Malgun Gothic" w:cs="Malgun Gothic" w:eastAsia="Malgun Gothic" w:hAnsi="Malgun Gothic"/>
          <w:b w:val="false"/>
          <w:bCs w:val="false"/>
          <w:i w:val="false"/>
          <w:iCs w:val="false"/>
          <w:color w:val="111111"/>
          <w:sz w:val="19"/>
          <w:szCs w:val="19"/>
        </w:rPr>
        <w:t xml:space="preserve">평균수익률과 breadth가 모두 약해 섹터 전반의 매도 압력이 우세했다. 종목 간 분산은 시장 전체보다 낮아 방향성이 비교적 고르게 나타났다.</w:t>
      </w:r>
    </w:p>
    <w:p>
      <w:pPr>
        <w:spacing w:after="55" w:before="60"/>
        <w:jc w:val="center"/>
      </w:pPr>
      <w:r>
        <w:drawing>
          <wp:inline distT="0" distB="0" distL="0" distR="0">
            <wp:extent cx="6429375" cy="2505075"/>
            <wp:effectExtent t="0" r="0" b="0" l="0"/>
            <wp:docPr id="1" name="topix_industrials_industries_5d_20260821.png" descr="topix_industrials_industries_5d_20260821.png" title="topix_industrials_industries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29375" cy="250507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11. Industrials 산업그룹 최근 5거래일 성과</w:t>
      </w:r>
    </w:p>
    <w:tbl>
      <w:tblPr>
        <w:tblW w:type="dxa" w:w="8050"/>
        <w:tblBorders>
          <w:top w:val="single" w:color="B4C7DC" w:sz="4"/>
          <w:left w:val="single" w:color="B4C7DC" w:sz="4"/>
          <w:bottom w:val="single" w:color="B4C7DC" w:sz="4"/>
          <w:right w:val="single" w:color="B4C7DC" w:sz="4"/>
          <w:insideH w:val="single" w:color="D9D9D9" w:sz="2"/>
          <w:insideV w:val="single" w:color="D9D9D9" w:sz="2"/>
        </w:tblBorders>
      </w:tblPr>
      <w:tblGrid>
        <w:gridCol w:w="3000"/>
        <w:gridCol w:w="650"/>
        <w:gridCol w:w="1050"/>
        <w:gridCol w:w="1050"/>
        <w:gridCol w:w="1050"/>
        <w:gridCol w:w="1250"/>
      </w:tblGrid>
      <w:tr>
        <w:trPr>
          <w:cantSplit/>
          <w:tblHeader/>
        </w:trPr>
        <w:tc>
          <w:tcPr>
            <w:tcW w:type="dxa" w:w="30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GICS Industry Group</w:t>
            </w:r>
          </w:p>
        </w:tc>
        <w:tc>
          <w:tcPr>
            <w:tcW w:type="dxa" w:w="6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N</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5D 평균</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중앙값</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상승 비율</w:t>
            </w:r>
          </w:p>
        </w:tc>
        <w:tc>
          <w:tcPr>
            <w:tcW w:type="dxa" w:w="12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섹터 대비</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Transportation</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55</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+1.7%</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+1.2%</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71%</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+2.8%p</w:t>
            </w:r>
          </w:p>
        </w:tc>
      </w:tr>
      <w:tr>
        <w:trPr>
          <w:cantSplit/>
        </w:trPr>
        <w:tc>
          <w:tcPr>
            <w:tcW w:type="dxa" w:w="30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Commercial &amp; Professional Services</w:t>
            </w:r>
          </w:p>
        </w:tc>
        <w:tc>
          <w:tcPr>
            <w:tcW w:type="dxa" w:w="6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92</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+0.9%</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+0.9%</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68%</w:t>
            </w:r>
          </w:p>
        </w:tc>
        <w:tc>
          <w:tcPr>
            <w:tcW w:type="dxa" w:w="12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+2.0%p</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Capital Goods</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294</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6"/>
                <w:szCs w:val="16"/>
              </w:rPr>
              <w:t xml:space="preserve">-2.2%</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-1.4%</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32%</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-1.1%p</w:t>
            </w:r>
          </w:p>
        </w:tc>
      </w:tr>
    </w:tbl>
    <w:p>
      <w:pPr>
        <w:keepNext w:val="false"/>
        <w:spacing w:after="40" w:before="0" w:line="286"/>
        <w:jc w:val="left"/>
      </w:pPr>
      <w:r>
        <w:rPr>
          <w:rFonts w:ascii="Malgun Gothic" w:cs="Malgun Gothic" w:eastAsia="Malgun Gothic" w:hAnsi="Malgun Gothic"/>
          <w:b w:val="false"/>
          <w:bCs w:val="false"/>
          <w:i w:val="false"/>
          <w:iCs w:val="false"/>
          <w:color w:val="111111"/>
          <w:sz w:val="4"/>
          <w:szCs w:val="4"/>
        </w:rPr>
        <w:t xml:space="preserve"/>
      </w:r>
    </w:p>
    <w:p>
      <w:pPr>
        <w:pStyle w:val="Heading2"/>
        <w:keepNext/>
        <w:spacing w:after="100" w:before="170"/>
      </w:pPr>
      <w:r>
        <w:t xml:space="preserve">상승 종목과 하락 종목</w:t>
      </w:r>
    </w:p>
    <w:p>
      <w:pPr>
        <w:keepNext w:val="false"/>
        <w:spacing w:after="75" w:before="0" w:line="286"/>
        <w:jc w:val="left"/>
      </w:pPr>
      <w:r>
        <w:rPr>
          <w:rFonts w:ascii="Malgun Gothic" w:cs="Malgun Gothic" w:eastAsia="Malgun Gothic" w:hAnsi="Malgun Gothic"/>
          <w:b w:val="false"/>
          <w:bCs w:val="false"/>
          <w:i w:val="false"/>
          <w:iCs w:val="false"/>
          <w:color w:val="666666"/>
          <w:sz w:val="16"/>
          <w:szCs w:val="16"/>
        </w:rPr>
        <w:t xml:space="preserve">섹터 내 유효 종목을 수익률 순으로 정렬해 상승 상위와 하락 하위를 각각 최대 8개 표시했다.</w:t>
      </w:r>
    </w:p>
    <w:tbl>
      <w:tblPr>
        <w:tblW w:type="dxa" w:w="9360"/>
        <w:tblBorders>
          <w:top w:val="single" w:color="B4C7DC" w:sz="4"/>
          <w:left w:val="single" w:color="B4C7DC" w:sz="4"/>
          <w:bottom w:val="single" w:color="B4C7DC" w:sz="4"/>
          <w:right w:val="single" w:color="B4C7DC" w:sz="4"/>
          <w:insideH w:val="single" w:color="D9D9D9" w:sz="2"/>
          <w:insideV w:val="single" w:color="D9D9D9" w:sz="2"/>
        </w:tblBorders>
      </w:tblPr>
      <w:tblGrid>
        <w:gridCol w:w="1500"/>
        <w:gridCol w:w="1050"/>
        <w:gridCol w:w="1430"/>
        <w:gridCol w:w="700"/>
        <w:gridCol w:w="1500"/>
        <w:gridCol w:w="1050"/>
        <w:gridCol w:w="1430"/>
        <w:gridCol w:w="700"/>
      </w:tblGrid>
      <w:tr>
        <w:trPr>
          <w:cantSplit/>
          <w:tblHeader/>
        </w:trPr>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상승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하락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Link And Motivation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2170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Commercial &amp; Professional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+16.0%</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Nikkiso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6376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Capital Goods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-21.3%</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Mitsui OSK Lines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9104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Transportation</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+12.5%</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Ebara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6361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Capital Goods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-16.0%</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Kawasaki Kisen Kaisha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9107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Transportation</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+12.4%</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Nisshinbo Holdings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3105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Capital Goods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-13.9%</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Management Solutions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7033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Commercial &amp; Professional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+12.3%</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Tsugami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6101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Capital Goods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-12.7%</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Nippon Yusen KK</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9101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Transportation</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+11.0%</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Fuji Corp/Aichi</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6134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Capital Goods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-12.5%</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Sumiseki Holdings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1514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Capital Goods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+9.3%</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Harmonic Drive Systems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6324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Capital Goods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-12.4%</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Raiznext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6379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Capital Goods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+8.5%</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Union Tool Co</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6278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Capital Goods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-11.7%</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Careerlink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6070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Commercial &amp; Professional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+7.8%</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IHI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7013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Capital Goods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-11.7%</w:t>
            </w:r>
          </w:p>
        </w:tc>
      </w:tr>
    </w:tbl>
    <w:p>
      <w:r>
        <w:br w:type="page"/>
      </w:r>
    </w:p>
    <w:p>
      <w:pPr>
        <w:pStyle w:val="Heading1"/>
        <w:keepNext/>
        <w:spacing w:after="100" w:before="220"/>
      </w:pPr>
      <w:r>
        <w:t xml:space="preserve">9. Financials · 약세 확산</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성과  </w:t>
      </w:r>
      <w:r>
        <w:rPr>
          <w:rFonts w:ascii="Malgun Gothic" w:cs="Malgun Gothic" w:eastAsia="Malgun Gothic" w:hAnsi="Malgun Gothic"/>
          <w:b w:val="false"/>
          <w:bCs w:val="false"/>
          <w:i w:val="false"/>
          <w:iCs w:val="false"/>
          <w:color w:val="111111"/>
          <w:sz w:val="19"/>
          <w:szCs w:val="19"/>
        </w:rPr>
        <w:t xml:space="preserve">5거래일 동일가중 평균 -1.2%, 중앙값 -1.7%, 시장 대비 -0.6%p다. 상승 종목 비율은 32%, 유효 표본은 128개다.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구조  </w:t>
      </w:r>
      <w:r>
        <w:rPr>
          <w:rFonts w:ascii="Malgun Gothic" w:cs="Malgun Gothic" w:eastAsia="Malgun Gothic" w:hAnsi="Malgun Gothic"/>
          <w:b w:val="false"/>
          <w:bCs w:val="false"/>
          <w:i w:val="false"/>
          <w:iCs w:val="false"/>
          <w:color w:val="111111"/>
          <w:sz w:val="19"/>
          <w:szCs w:val="19"/>
        </w:rPr>
        <w:t xml:space="preserve">3개 산업그룹 중 Financial Services가 +1.0%로 가장 강했고, Banks가 -2.7%로 가장 약했다. 산업 간 스프레드는 +3.7%p다.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해석  </w:t>
      </w:r>
      <w:r>
        <w:rPr>
          <w:rFonts w:ascii="Malgun Gothic" w:cs="Malgun Gothic" w:eastAsia="Malgun Gothic" w:hAnsi="Malgun Gothic"/>
          <w:b w:val="false"/>
          <w:bCs w:val="false"/>
          <w:i w:val="false"/>
          <w:iCs w:val="false"/>
          <w:color w:val="111111"/>
          <w:sz w:val="19"/>
          <w:szCs w:val="19"/>
        </w:rPr>
        <w:t xml:space="preserve">평균수익률과 breadth가 모두 약해 섹터 전반의 매도 압력이 우세했다. 종목 간 분산은 시장 전체보다 낮아 방향성이 비교적 고르게 나타났다.</w:t>
      </w:r>
    </w:p>
    <w:p>
      <w:pPr>
        <w:spacing w:after="55" w:before="60"/>
        <w:jc w:val="center"/>
      </w:pPr>
      <w:r>
        <w:drawing>
          <wp:inline distT="0" distB="0" distL="0" distR="0">
            <wp:extent cx="6429375" cy="2505075"/>
            <wp:effectExtent t="0" r="0" b="0" l="0"/>
            <wp:docPr id="1" name="topix_financials_industries_5d_20260821.png" descr="topix_financials_industries_5d_20260821.png" title="topix_financials_industries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29375" cy="250507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12. Financials 산업그룹 최근 5거래일 성과</w:t>
      </w:r>
    </w:p>
    <w:tbl>
      <w:tblPr>
        <w:tblW w:type="dxa" w:w="8050"/>
        <w:tblBorders>
          <w:top w:val="single" w:color="B4C7DC" w:sz="4"/>
          <w:left w:val="single" w:color="B4C7DC" w:sz="4"/>
          <w:bottom w:val="single" w:color="B4C7DC" w:sz="4"/>
          <w:right w:val="single" w:color="B4C7DC" w:sz="4"/>
          <w:insideH w:val="single" w:color="D9D9D9" w:sz="2"/>
          <w:insideV w:val="single" w:color="D9D9D9" w:sz="2"/>
        </w:tblBorders>
      </w:tblPr>
      <w:tblGrid>
        <w:gridCol w:w="3000"/>
        <w:gridCol w:w="650"/>
        <w:gridCol w:w="1050"/>
        <w:gridCol w:w="1050"/>
        <w:gridCol w:w="1050"/>
        <w:gridCol w:w="1250"/>
      </w:tblGrid>
      <w:tr>
        <w:trPr>
          <w:cantSplit/>
          <w:tblHeader/>
        </w:trPr>
        <w:tc>
          <w:tcPr>
            <w:tcW w:type="dxa" w:w="30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GICS Industry Group</w:t>
            </w:r>
          </w:p>
        </w:tc>
        <w:tc>
          <w:tcPr>
            <w:tcW w:type="dxa" w:w="6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N</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5D 평균</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중앙값</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상승 비율</w:t>
            </w:r>
          </w:p>
        </w:tc>
        <w:tc>
          <w:tcPr>
            <w:tcW w:type="dxa" w:w="12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섹터 대비</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Financial Services</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48</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+1.0%</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+0.7%</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63%</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+2.2%p</w:t>
            </w:r>
          </w:p>
        </w:tc>
      </w:tr>
      <w:tr>
        <w:trPr>
          <w:cantSplit/>
        </w:trPr>
        <w:tc>
          <w:tcPr>
            <w:tcW w:type="dxa" w:w="30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Insurance</w:t>
            </w:r>
          </w:p>
        </w:tc>
        <w:tc>
          <w:tcPr>
            <w:tcW w:type="dxa" w:w="6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11</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6"/>
                <w:szCs w:val="16"/>
              </w:rPr>
              <w:t xml:space="preserve">-1.3%</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-1.7%</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27%</w:t>
            </w:r>
          </w:p>
        </w:tc>
        <w:tc>
          <w:tcPr>
            <w:tcW w:type="dxa" w:w="12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-0.1%p</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Banks</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69</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6"/>
                <w:szCs w:val="16"/>
              </w:rPr>
              <w:t xml:space="preserve">-2.7%</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-3.1%</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12%</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-1.5%p</w:t>
            </w:r>
          </w:p>
        </w:tc>
      </w:tr>
    </w:tbl>
    <w:p>
      <w:pPr>
        <w:keepNext w:val="false"/>
        <w:spacing w:after="40" w:before="0" w:line="286"/>
        <w:jc w:val="left"/>
      </w:pPr>
      <w:r>
        <w:rPr>
          <w:rFonts w:ascii="Malgun Gothic" w:cs="Malgun Gothic" w:eastAsia="Malgun Gothic" w:hAnsi="Malgun Gothic"/>
          <w:b w:val="false"/>
          <w:bCs w:val="false"/>
          <w:i w:val="false"/>
          <w:iCs w:val="false"/>
          <w:color w:val="111111"/>
          <w:sz w:val="4"/>
          <w:szCs w:val="4"/>
        </w:rPr>
        <w:t xml:space="preserve"/>
      </w:r>
    </w:p>
    <w:p>
      <w:pPr>
        <w:pStyle w:val="Heading2"/>
        <w:keepNext/>
        <w:spacing w:after="100" w:before="170"/>
      </w:pPr>
      <w:r>
        <w:t xml:space="preserve">상승 종목과 하락 종목</w:t>
      </w:r>
    </w:p>
    <w:p>
      <w:pPr>
        <w:keepNext w:val="false"/>
        <w:spacing w:after="75" w:before="0" w:line="286"/>
        <w:jc w:val="left"/>
      </w:pPr>
      <w:r>
        <w:rPr>
          <w:rFonts w:ascii="Malgun Gothic" w:cs="Malgun Gothic" w:eastAsia="Malgun Gothic" w:hAnsi="Malgun Gothic"/>
          <w:b w:val="false"/>
          <w:bCs w:val="false"/>
          <w:i w:val="false"/>
          <w:iCs w:val="false"/>
          <w:color w:val="666666"/>
          <w:sz w:val="16"/>
          <w:szCs w:val="16"/>
        </w:rPr>
        <w:t xml:space="preserve">섹터 내 유효 종목을 수익률 순으로 정렬해 상승 상위와 하락 하위를 각각 최대 8개 표시했다.</w:t>
      </w:r>
    </w:p>
    <w:tbl>
      <w:tblPr>
        <w:tblW w:type="dxa" w:w="9360"/>
        <w:tblBorders>
          <w:top w:val="single" w:color="B4C7DC" w:sz="4"/>
          <w:left w:val="single" w:color="B4C7DC" w:sz="4"/>
          <w:bottom w:val="single" w:color="B4C7DC" w:sz="4"/>
          <w:right w:val="single" w:color="B4C7DC" w:sz="4"/>
          <w:insideH w:val="single" w:color="D9D9D9" w:sz="2"/>
          <w:insideV w:val="single" w:color="D9D9D9" w:sz="2"/>
        </w:tblBorders>
      </w:tblPr>
      <w:tblGrid>
        <w:gridCol w:w="1500"/>
        <w:gridCol w:w="1050"/>
        <w:gridCol w:w="1430"/>
        <w:gridCol w:w="700"/>
        <w:gridCol w:w="1500"/>
        <w:gridCol w:w="1050"/>
        <w:gridCol w:w="1430"/>
        <w:gridCol w:w="700"/>
      </w:tblGrid>
      <w:tr>
        <w:trPr>
          <w:cantSplit/>
          <w:tblHeader/>
        </w:trPr>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상승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하락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Quants Research Institute Hold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9552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Financial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+10.4%</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GMO Payment Gateway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3769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Financial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-9.1%</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Mito Securities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8622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Financial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+6.7%</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Tochigi Bank Ltd/The</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8550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Banks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-6.8%</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Ehime Bank Ltd/The</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8541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Banks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+6.4%</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Hokuhoku Financial Group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8377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Banks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-6.4%</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Monex Group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8698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Financial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+5.3%</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Mizuho Financial Group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8411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Banks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-5.9%</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AEON Financial Service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8570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Financial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+4.9%</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Tsukuba Bank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8338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Banks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-5.7%</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SBI Holdings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8473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Financial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+4.8%</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Toho Bank Ltd/The</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8346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Banks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-5.3%</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Toyo Securities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8614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Financial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+4.5%</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Sumitomo Mitsui Financial Grou</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8316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Banks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-5.2%</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FIDEA Holdings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8713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Banks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+4.3%</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Shikoku Bank Ltd/The</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8387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Banks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-4.9%</w:t>
            </w:r>
          </w:p>
        </w:tc>
      </w:tr>
    </w:tbl>
    <w:p>
      <w:r>
        <w:br w:type="page"/>
      </w:r>
    </w:p>
    <w:p>
      <w:pPr>
        <w:pStyle w:val="Heading1"/>
        <w:keepNext/>
        <w:spacing w:after="100" w:before="220"/>
      </w:pPr>
      <w:r>
        <w:t xml:space="preserve">10. Materials · 약세 확산</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성과  </w:t>
      </w:r>
      <w:r>
        <w:rPr>
          <w:rFonts w:ascii="Malgun Gothic" w:cs="Malgun Gothic" w:eastAsia="Malgun Gothic" w:hAnsi="Malgun Gothic"/>
          <w:b w:val="false"/>
          <w:bCs w:val="false"/>
          <w:i w:val="false"/>
          <w:iCs w:val="false"/>
          <w:color w:val="111111"/>
          <w:sz w:val="19"/>
          <w:szCs w:val="19"/>
        </w:rPr>
        <w:t xml:space="preserve">5거래일 동일가중 평균 -1.5%, 중앙값 -1.5%, 시장 대비 -0.8%p다. 상승 종목 비율은 34%, 유효 표본은 157개다.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구조  </w:t>
      </w:r>
      <w:r>
        <w:rPr>
          <w:rFonts w:ascii="Malgun Gothic" w:cs="Malgun Gothic" w:eastAsia="Malgun Gothic" w:hAnsi="Malgun Gothic"/>
          <w:b w:val="false"/>
          <w:bCs w:val="false"/>
          <w:i w:val="false"/>
          <w:iCs w:val="false"/>
          <w:color w:val="111111"/>
          <w:sz w:val="19"/>
          <w:szCs w:val="19"/>
        </w:rPr>
        <w:t xml:space="preserve">Materials 단일 산업그룹으로 구성돼 산업 간 상대비교는 하지 않는다. 해당 산업그룹의 수익률은 -1.5%다.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해석  </w:t>
      </w:r>
      <w:r>
        <w:rPr>
          <w:rFonts w:ascii="Malgun Gothic" w:cs="Malgun Gothic" w:eastAsia="Malgun Gothic" w:hAnsi="Malgun Gothic"/>
          <w:b w:val="false"/>
          <w:bCs w:val="false"/>
          <w:i w:val="false"/>
          <w:iCs w:val="false"/>
          <w:color w:val="111111"/>
          <w:sz w:val="19"/>
          <w:szCs w:val="19"/>
        </w:rPr>
        <w:t xml:space="preserve">평균수익률과 breadth가 모두 약해 섹터 전반의 매도 압력이 우세했다. 종목 간 분산은 시장 전체보다 낮아 방향성이 비교적 고르게 나타났다.</w:t>
      </w:r>
    </w:p>
    <w:p>
      <w:pPr>
        <w:spacing w:after="55" w:before="60"/>
        <w:jc w:val="center"/>
      </w:pPr>
      <w:r>
        <w:drawing>
          <wp:inline distT="0" distB="0" distL="0" distR="0">
            <wp:extent cx="6429375" cy="2505075"/>
            <wp:effectExtent t="0" r="0" b="0" l="0"/>
            <wp:docPr id="1" name="topix_materials_industries_5d_20260821.png" descr="topix_materials_industries_5d_20260821.png" title="topix_materials_industries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29375" cy="250507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13. Materials 산업그룹 최근 5거래일 성과</w:t>
      </w:r>
    </w:p>
    <w:tbl>
      <w:tblPr>
        <w:tblW w:type="dxa" w:w="8050"/>
        <w:tblBorders>
          <w:top w:val="single" w:color="B4C7DC" w:sz="4"/>
          <w:left w:val="single" w:color="B4C7DC" w:sz="4"/>
          <w:bottom w:val="single" w:color="B4C7DC" w:sz="4"/>
          <w:right w:val="single" w:color="B4C7DC" w:sz="4"/>
          <w:insideH w:val="single" w:color="D9D9D9" w:sz="2"/>
          <w:insideV w:val="single" w:color="D9D9D9" w:sz="2"/>
        </w:tblBorders>
      </w:tblPr>
      <w:tblGrid>
        <w:gridCol w:w="3000"/>
        <w:gridCol w:w="650"/>
        <w:gridCol w:w="1050"/>
        <w:gridCol w:w="1050"/>
        <w:gridCol w:w="1050"/>
        <w:gridCol w:w="1250"/>
      </w:tblGrid>
      <w:tr>
        <w:trPr>
          <w:cantSplit/>
          <w:tblHeader/>
        </w:trPr>
        <w:tc>
          <w:tcPr>
            <w:tcW w:type="dxa" w:w="30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GICS Industry Group</w:t>
            </w:r>
          </w:p>
        </w:tc>
        <w:tc>
          <w:tcPr>
            <w:tcW w:type="dxa" w:w="6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N</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5D 평균</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중앙값</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상승 비율</w:t>
            </w:r>
          </w:p>
        </w:tc>
        <w:tc>
          <w:tcPr>
            <w:tcW w:type="dxa" w:w="12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섹터 대비</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Materials</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157</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6"/>
                <w:szCs w:val="16"/>
              </w:rPr>
              <w:t xml:space="preserve">-1.5%</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-1.5%</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34%</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+0.0%p</w:t>
            </w:r>
          </w:p>
        </w:tc>
      </w:tr>
    </w:tbl>
    <w:p>
      <w:pPr>
        <w:keepNext w:val="false"/>
        <w:spacing w:after="40" w:before="0" w:line="286"/>
        <w:jc w:val="left"/>
      </w:pPr>
      <w:r>
        <w:rPr>
          <w:rFonts w:ascii="Malgun Gothic" w:cs="Malgun Gothic" w:eastAsia="Malgun Gothic" w:hAnsi="Malgun Gothic"/>
          <w:b w:val="false"/>
          <w:bCs w:val="false"/>
          <w:i w:val="false"/>
          <w:iCs w:val="false"/>
          <w:color w:val="111111"/>
          <w:sz w:val="4"/>
          <w:szCs w:val="4"/>
        </w:rPr>
        <w:t xml:space="preserve"/>
      </w:r>
    </w:p>
    <w:p>
      <w:pPr>
        <w:pStyle w:val="Heading2"/>
        <w:keepNext/>
        <w:spacing w:after="100" w:before="170"/>
      </w:pPr>
      <w:r>
        <w:t xml:space="preserve">상승 종목과 하락 종목</w:t>
      </w:r>
    </w:p>
    <w:p>
      <w:pPr>
        <w:keepNext w:val="false"/>
        <w:spacing w:after="75" w:before="0" w:line="286"/>
        <w:jc w:val="left"/>
      </w:pPr>
      <w:r>
        <w:rPr>
          <w:rFonts w:ascii="Malgun Gothic" w:cs="Malgun Gothic" w:eastAsia="Malgun Gothic" w:hAnsi="Malgun Gothic"/>
          <w:b w:val="false"/>
          <w:bCs w:val="false"/>
          <w:i w:val="false"/>
          <w:iCs w:val="false"/>
          <w:color w:val="666666"/>
          <w:sz w:val="16"/>
          <w:szCs w:val="16"/>
        </w:rPr>
        <w:t xml:space="preserve">섹터 내 유효 종목을 수익률 순으로 정렬해 상승 상위와 하락 하위를 각각 최대 8개 표시했다.</w:t>
      </w:r>
    </w:p>
    <w:tbl>
      <w:tblPr>
        <w:tblW w:type="dxa" w:w="9360"/>
        <w:tblBorders>
          <w:top w:val="single" w:color="B4C7DC" w:sz="4"/>
          <w:left w:val="single" w:color="B4C7DC" w:sz="4"/>
          <w:bottom w:val="single" w:color="B4C7DC" w:sz="4"/>
          <w:right w:val="single" w:color="B4C7DC" w:sz="4"/>
          <w:insideH w:val="single" w:color="D9D9D9" w:sz="2"/>
          <w:insideV w:val="single" w:color="D9D9D9" w:sz="2"/>
        </w:tblBorders>
      </w:tblPr>
      <w:tblGrid>
        <w:gridCol w:w="1500"/>
        <w:gridCol w:w="1050"/>
        <w:gridCol w:w="1430"/>
        <w:gridCol w:w="700"/>
        <w:gridCol w:w="1500"/>
        <w:gridCol w:w="1050"/>
        <w:gridCol w:w="1430"/>
        <w:gridCol w:w="700"/>
      </w:tblGrid>
      <w:tr>
        <w:trPr>
          <w:cantSplit/>
          <w:tblHeader/>
        </w:trPr>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상승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하락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Sumitomo Metal Mining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5713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+12.3%</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Kanto Denka Kogyo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4047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-11.6%</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KeePer Technical Laboratory Co</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6036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+11.1%</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Arakawa Chemical Industries Lt</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4968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-11.0%</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Nittetsu Mining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1515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+7.7%</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Rasa Industries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4022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-10.9%</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ARE Holdings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5857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+7.7%</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Yamato Kogyo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5444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-10.8%</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Mitsubishi Materials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5711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+7.6%</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Lintec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7966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-10.6%</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Dowa Holdings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5714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+6.8%</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Shikoku Kasei Holdings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4099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-10.6%</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Hokkan Holdings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5902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+6.2%</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Fuso Chemical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4368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-10.5%</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Toho Zinc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5707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+5.9%</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MEC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4971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Materials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-10.3%</w:t>
            </w:r>
          </w:p>
        </w:tc>
      </w:tr>
    </w:tbl>
    <w:p>
      <w:r>
        <w:br w:type="page"/>
      </w:r>
    </w:p>
    <w:p>
      <w:pPr>
        <w:pStyle w:val="Heading1"/>
        <w:keepNext/>
        <w:spacing w:after="100" w:before="220"/>
      </w:pPr>
      <w:r>
        <w:t xml:space="preserve">11. Information Technology · 약세 확산</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성과  </w:t>
      </w:r>
      <w:r>
        <w:rPr>
          <w:rFonts w:ascii="Malgun Gothic" w:cs="Malgun Gothic" w:eastAsia="Malgun Gothic" w:hAnsi="Malgun Gothic"/>
          <w:b w:val="false"/>
          <w:bCs w:val="false"/>
          <w:i w:val="false"/>
          <w:iCs w:val="false"/>
          <w:color w:val="111111"/>
          <w:sz w:val="19"/>
          <w:szCs w:val="19"/>
        </w:rPr>
        <w:t xml:space="preserve">5거래일 동일가중 평균 -3.3%, 중앙값 -2.9%, 시장 대비 -2.6%p다. 상승 종목 비율은 27%, 유효 표본은 247개다.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산업 구조  </w:t>
      </w:r>
      <w:r>
        <w:rPr>
          <w:rFonts w:ascii="Malgun Gothic" w:cs="Malgun Gothic" w:eastAsia="Malgun Gothic" w:hAnsi="Malgun Gothic"/>
          <w:b w:val="false"/>
          <w:bCs w:val="false"/>
          <w:i w:val="false"/>
          <w:iCs w:val="false"/>
          <w:color w:val="111111"/>
          <w:sz w:val="19"/>
          <w:szCs w:val="19"/>
        </w:rPr>
        <w:t xml:space="preserve">3개 산업그룹 중 Software &amp; Services가 +0.3%로 가장 강했고, Semiconductors &amp; Semiconductor Equipment가 -7.5%로 가장 약했다. 산업 간 스프레드는 +7.7%p다.</w:t>
      </w:r>
    </w:p>
    <w:p>
      <w:pPr>
        <w:keepNext w:val="false"/>
        <w:spacing w:after="100" w:before="0" w:line="286"/>
        <w:jc w:val="left"/>
      </w:pPr>
      <w:r>
        <w:rPr>
          <w:rFonts w:ascii="Malgun Gothic" w:cs="Malgun Gothic" w:eastAsia="Malgun Gothic" w:hAnsi="Malgun Gothic"/>
          <w:b/>
          <w:bCs/>
          <w:i w:val="false"/>
          <w:iCs w:val="false"/>
          <w:color w:val="2F75B5"/>
          <w:sz w:val="19"/>
          <w:szCs w:val="19"/>
        </w:rPr>
        <w:t xml:space="preserve">해석  </w:t>
      </w:r>
      <w:r>
        <w:rPr>
          <w:rFonts w:ascii="Malgun Gothic" w:cs="Malgun Gothic" w:eastAsia="Malgun Gothic" w:hAnsi="Malgun Gothic"/>
          <w:b w:val="false"/>
          <w:bCs w:val="false"/>
          <w:i w:val="false"/>
          <w:iCs w:val="false"/>
          <w:color w:val="111111"/>
          <w:sz w:val="19"/>
          <w:szCs w:val="19"/>
        </w:rPr>
        <w:t xml:space="preserve">평균수익률과 breadth가 모두 약해 섹터 전반의 매도 압력이 우세했다. 종목 간 수익률 분산도 시장 전체보다 커 개별 종목 선택의 영향이 컸다.</w:t>
      </w:r>
    </w:p>
    <w:p>
      <w:pPr>
        <w:spacing w:after="55" w:before="60"/>
        <w:jc w:val="center"/>
      </w:pPr>
      <w:r>
        <w:drawing>
          <wp:inline distT="0" distB="0" distL="0" distR="0">
            <wp:extent cx="6429375" cy="2505075"/>
            <wp:effectExtent t="0" r="0" b="0" l="0"/>
            <wp:docPr id="1" name="topix_information_technology_industries_5d_20260821.png" descr="topix_information_technology_industries_5d_20260821.png" title="topix_information_technology_industries_5d_20260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29375" cy="2505075"/>
                    </a:xfrm>
                    <a:prstGeom prst="rect">
                      <a:avLst/>
                    </a:prstGeom>
                  </pic:spPr>
                </pic:pic>
              </a:graphicData>
            </a:graphic>
          </wp:inline>
        </w:drawing>
      </w:r>
    </w:p>
    <w:p>
      <w:pPr>
        <w:keepNext w:val="false"/>
        <w:spacing w:after="150" w:before="0" w:line="286"/>
        <w:jc w:val="center"/>
      </w:pPr>
      <w:r>
        <w:rPr>
          <w:rFonts w:ascii="Malgun Gothic" w:cs="Malgun Gothic" w:eastAsia="Malgun Gothic" w:hAnsi="Malgun Gothic"/>
          <w:b w:val="false"/>
          <w:bCs w:val="false"/>
          <w:i w:val="false"/>
          <w:iCs w:val="false"/>
          <w:color w:val="666666"/>
          <w:sz w:val="15"/>
          <w:szCs w:val="15"/>
        </w:rPr>
        <w:t xml:space="preserve">그림 14. Information Technology 산업그룹 최근 5거래일 성과</w:t>
      </w:r>
    </w:p>
    <w:tbl>
      <w:tblPr>
        <w:tblW w:type="dxa" w:w="8050"/>
        <w:tblBorders>
          <w:top w:val="single" w:color="B4C7DC" w:sz="4"/>
          <w:left w:val="single" w:color="B4C7DC" w:sz="4"/>
          <w:bottom w:val="single" w:color="B4C7DC" w:sz="4"/>
          <w:right w:val="single" w:color="B4C7DC" w:sz="4"/>
          <w:insideH w:val="single" w:color="D9D9D9" w:sz="2"/>
          <w:insideV w:val="single" w:color="D9D9D9" w:sz="2"/>
        </w:tblBorders>
      </w:tblPr>
      <w:tblGrid>
        <w:gridCol w:w="3000"/>
        <w:gridCol w:w="650"/>
        <w:gridCol w:w="1050"/>
        <w:gridCol w:w="1050"/>
        <w:gridCol w:w="1050"/>
        <w:gridCol w:w="1250"/>
      </w:tblGrid>
      <w:tr>
        <w:trPr>
          <w:cantSplit/>
          <w:tblHeader/>
        </w:trPr>
        <w:tc>
          <w:tcPr>
            <w:tcW w:type="dxa" w:w="30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GICS Industry Group</w:t>
            </w:r>
          </w:p>
        </w:tc>
        <w:tc>
          <w:tcPr>
            <w:tcW w:type="dxa" w:w="6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N</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5D 평균</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중앙값</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상승 비율</w:t>
            </w:r>
          </w:p>
        </w:tc>
        <w:tc>
          <w:tcPr>
            <w:tcW w:type="dxa" w:w="12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5"/>
                <w:szCs w:val="15"/>
              </w:rPr>
              <w:t xml:space="preserve">섹터 대비</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Software &amp; Services</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106</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6"/>
                <w:szCs w:val="16"/>
              </w:rPr>
              <w:t xml:space="preserve">+0.3%</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+0.1%</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51%</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+3.5%p</w:t>
            </w:r>
          </w:p>
        </w:tc>
      </w:tr>
      <w:tr>
        <w:trPr>
          <w:cantSplit/>
        </w:trPr>
        <w:tc>
          <w:tcPr>
            <w:tcW w:type="dxa" w:w="30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Technology Hardware &amp; Equipment</w:t>
            </w:r>
          </w:p>
        </w:tc>
        <w:tc>
          <w:tcPr>
            <w:tcW w:type="dxa" w:w="6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107</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6"/>
                <w:szCs w:val="16"/>
              </w:rPr>
              <w:t xml:space="preserve">-5.5%</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-4.5%</w:t>
            </w:r>
          </w:p>
        </w:tc>
        <w:tc>
          <w:tcPr>
            <w:tcW w:type="dxa" w:w="10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9%</w:t>
            </w:r>
          </w:p>
        </w:tc>
        <w:tc>
          <w:tcPr>
            <w:tcW w:type="dxa" w:w="125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-2.2%p</w:t>
            </w:r>
          </w:p>
        </w:tc>
      </w:tr>
      <w:tr>
        <w:trPr>
          <w:cantSplit/>
        </w:trPr>
        <w:tc>
          <w:tcPr>
            <w:tcW w:type="dxa" w:w="30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6"/>
                <w:szCs w:val="16"/>
              </w:rPr>
              <w:t xml:space="preserve">Semiconductors &amp; Semiconductor Equipment</w:t>
            </w:r>
          </w:p>
        </w:tc>
        <w:tc>
          <w:tcPr>
            <w:tcW w:type="dxa" w:w="6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6"/>
                <w:szCs w:val="16"/>
              </w:rPr>
              <w:t xml:space="preserve">34</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6"/>
                <w:szCs w:val="16"/>
              </w:rPr>
              <w:t xml:space="preserve">-7.5%</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-8.0%</w:t>
            </w:r>
          </w:p>
        </w:tc>
        <w:tc>
          <w:tcPr>
            <w:tcW w:type="dxa" w:w="10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9%</w:t>
            </w:r>
          </w:p>
        </w:tc>
        <w:tc>
          <w:tcPr>
            <w:tcW w:type="dxa" w:w="125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111111"/>
                <w:sz w:val="16"/>
                <w:szCs w:val="16"/>
              </w:rPr>
              <w:t xml:space="preserve">-4.2%p</w:t>
            </w:r>
          </w:p>
        </w:tc>
      </w:tr>
    </w:tbl>
    <w:p>
      <w:pPr>
        <w:keepNext w:val="false"/>
        <w:spacing w:after="40" w:before="0" w:line="286"/>
        <w:jc w:val="left"/>
      </w:pPr>
      <w:r>
        <w:rPr>
          <w:rFonts w:ascii="Malgun Gothic" w:cs="Malgun Gothic" w:eastAsia="Malgun Gothic" w:hAnsi="Malgun Gothic"/>
          <w:b w:val="false"/>
          <w:bCs w:val="false"/>
          <w:i w:val="false"/>
          <w:iCs w:val="false"/>
          <w:color w:val="111111"/>
          <w:sz w:val="4"/>
          <w:szCs w:val="4"/>
        </w:rPr>
        <w:t xml:space="preserve"/>
      </w:r>
    </w:p>
    <w:p>
      <w:pPr>
        <w:pStyle w:val="Heading2"/>
        <w:keepNext/>
        <w:spacing w:after="100" w:before="170"/>
      </w:pPr>
      <w:r>
        <w:t xml:space="preserve">상승 종목과 하락 종목</w:t>
      </w:r>
    </w:p>
    <w:p>
      <w:pPr>
        <w:keepNext w:val="false"/>
        <w:spacing w:after="75" w:before="0" w:line="286"/>
        <w:jc w:val="left"/>
      </w:pPr>
      <w:r>
        <w:rPr>
          <w:rFonts w:ascii="Malgun Gothic" w:cs="Malgun Gothic" w:eastAsia="Malgun Gothic" w:hAnsi="Malgun Gothic"/>
          <w:b w:val="false"/>
          <w:bCs w:val="false"/>
          <w:i w:val="false"/>
          <w:iCs w:val="false"/>
          <w:color w:val="666666"/>
          <w:sz w:val="16"/>
          <w:szCs w:val="16"/>
        </w:rPr>
        <w:t xml:space="preserve">섹터 내 유효 종목을 수익률 순으로 정렬해 상승 상위와 하락 하위를 각각 최대 8개 표시했다.</w:t>
      </w:r>
    </w:p>
    <w:tbl>
      <w:tblPr>
        <w:tblW w:type="dxa" w:w="9360"/>
        <w:tblBorders>
          <w:top w:val="single" w:color="B4C7DC" w:sz="4"/>
          <w:left w:val="single" w:color="B4C7DC" w:sz="4"/>
          <w:bottom w:val="single" w:color="B4C7DC" w:sz="4"/>
          <w:right w:val="single" w:color="B4C7DC" w:sz="4"/>
          <w:insideH w:val="single" w:color="D9D9D9" w:sz="2"/>
          <w:insideV w:val="single" w:color="D9D9D9" w:sz="2"/>
        </w:tblBorders>
      </w:tblPr>
      <w:tblGrid>
        <w:gridCol w:w="1500"/>
        <w:gridCol w:w="1050"/>
        <w:gridCol w:w="1430"/>
        <w:gridCol w:w="700"/>
        <w:gridCol w:w="1500"/>
        <w:gridCol w:w="1050"/>
        <w:gridCol w:w="1430"/>
        <w:gridCol w:w="700"/>
      </w:tblGrid>
      <w:tr>
        <w:trPr>
          <w:cantSplit/>
          <w:tblHeader/>
        </w:trPr>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상승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c>
          <w:tcPr>
            <w:tcW w:type="dxa" w:w="15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하락 종목</w:t>
            </w:r>
          </w:p>
        </w:tc>
        <w:tc>
          <w:tcPr>
            <w:tcW w:type="dxa" w:w="105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Ticker</w:t>
            </w:r>
          </w:p>
        </w:tc>
        <w:tc>
          <w:tcPr>
            <w:tcW w:type="dxa" w:w="143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산업</w:t>
            </w:r>
          </w:p>
        </w:tc>
        <w:tc>
          <w:tcPr>
            <w:tcW w:type="dxa" w:w="700"/>
            <w:shd w:fill="17365D"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bCs/>
                <w:i w:val="false"/>
                <w:iCs w:val="false"/>
                <w:color w:val="FFFFFF"/>
                <w:sz w:val="13"/>
                <w:szCs w:val="13"/>
              </w:rPr>
              <w:t xml:space="preserve">5D</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Pro-Ship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3763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Software &amp;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+22.1%</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Ulvac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6728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Semiconductors &amp; Semiconductor Equipment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-19.0%</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Appier Group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4180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Software &amp;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+15.3%</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Rigaku Holdings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268A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Technology Hardware &amp; Equipment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-18.5%</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Broadleaf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3673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Software &amp;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+10.0%</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Jeol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6951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Technology Hardware &amp; Equipment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-17.7%</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GMO Pepabo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3633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Software &amp;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+9.3%</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Optorun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6235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Semiconductors &amp; Semiconductor Equipment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-16.7%</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Axell Corp</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6730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Semiconductors &amp; Semiconductor Equipment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+8.5%</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Taiyo Yuden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6976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Technology Hardware &amp; Equipment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-15.6%</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Ubicom Holdings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3937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Software &amp;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+7.3%</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Daitron Co Ltd</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7609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Technology Hardware &amp; Equipment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-14.9%</w:t>
            </w:r>
          </w:p>
        </w:tc>
      </w:tr>
      <w:tr>
        <w:trPr>
          <w:cantSplit/>
        </w:trPr>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baudroie inc</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4413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Software &amp; Services</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+6.2%</w:t>
            </w:r>
          </w:p>
        </w:tc>
        <w:tc>
          <w:tcPr>
            <w:tcW w:type="dxa" w:w="150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Murata Manufacturing Co Ltd</w:t>
            </w:r>
          </w:p>
        </w:tc>
        <w:tc>
          <w:tcPr>
            <w:tcW w:type="dxa" w:w="1050"/>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6981 JT Equity</w:t>
            </w:r>
          </w:p>
        </w:tc>
        <w:tc>
          <w:tcPr>
            <w:tcW w:type="dxa" w:w="1430"/>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Technology Hardware &amp; Equipment</w:t>
            </w:r>
          </w:p>
        </w:tc>
        <w:tc>
          <w:tcPr>
            <w:tcW w:type="dxa" w:w="700"/>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-13.9%</w:t>
            </w:r>
          </w:p>
        </w:tc>
      </w:tr>
      <w:tr>
        <w:trPr>
          <w:cantSplit/>
        </w:trPr>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Sansan Inc</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4443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Software &amp; Services</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008000"/>
                <w:sz w:val="14"/>
                <w:szCs w:val="14"/>
              </w:rPr>
              <w:t xml:space="preserve">+5.9%</w:t>
            </w:r>
          </w:p>
        </w:tc>
        <w:tc>
          <w:tcPr>
            <w:tcW w:type="dxa" w:w="150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bCs/>
                <w:i w:val="false"/>
                <w:iCs w:val="false"/>
                <w:color w:val="111111"/>
                <w:sz w:val="14"/>
                <w:szCs w:val="14"/>
              </w:rPr>
              <w:t xml:space="preserve">Restar Corp</w:t>
            </w:r>
          </w:p>
        </w:tc>
        <w:tc>
          <w:tcPr>
            <w:tcW w:type="dxa" w:w="1050"/>
            <w:shd w:fill="F6F9FC" w:val="clear"/>
            <w:tcMar>
              <w:top w:type="dxa" w:w="75"/>
              <w:left w:type="dxa" w:w="80"/>
              <w:bottom w:type="dxa" w:w="75"/>
              <w:right w:type="dxa" w:w="80"/>
            </w:tcMar>
            <w:vAlign w:val="center"/>
          </w:tcPr>
          <w:p>
            <w:pPr>
              <w:spacing w:after="0" w:before="0" w:line="235"/>
              <w:jc w:val="center"/>
            </w:pPr>
            <w:r>
              <w:rPr>
                <w:rFonts w:ascii="Malgun Gothic" w:cs="Malgun Gothic" w:eastAsia="Malgun Gothic" w:hAnsi="Malgun Gothic"/>
                <w:b w:val="false"/>
                <w:bCs w:val="false"/>
                <w:i w:val="false"/>
                <w:iCs w:val="false"/>
                <w:color w:val="111111"/>
                <w:sz w:val="13"/>
                <w:szCs w:val="13"/>
              </w:rPr>
              <w:t xml:space="preserve">3156 JT Equity</w:t>
            </w:r>
          </w:p>
        </w:tc>
        <w:tc>
          <w:tcPr>
            <w:tcW w:type="dxa" w:w="1430"/>
            <w:shd w:fill="F6F9FC" w:val="clear"/>
            <w:tcMar>
              <w:top w:type="dxa" w:w="75"/>
              <w:left w:type="dxa" w:w="80"/>
              <w:bottom w:type="dxa" w:w="75"/>
              <w:right w:type="dxa" w:w="80"/>
            </w:tcMar>
            <w:vAlign w:val="center"/>
          </w:tcPr>
          <w:p>
            <w:pPr>
              <w:spacing w:after="0" w:before="0" w:line="235"/>
              <w:jc w:val="left"/>
            </w:pPr>
            <w:r>
              <w:rPr>
                <w:rFonts w:ascii="Malgun Gothic" w:cs="Malgun Gothic" w:eastAsia="Malgun Gothic" w:hAnsi="Malgun Gothic"/>
                <w:b w:val="false"/>
                <w:bCs w:val="false"/>
                <w:i w:val="false"/>
                <w:iCs w:val="false"/>
                <w:color w:val="111111"/>
                <w:sz w:val="13"/>
                <w:szCs w:val="13"/>
              </w:rPr>
              <w:t xml:space="preserve">Technology Hardware &amp; Equipment</w:t>
            </w:r>
          </w:p>
        </w:tc>
        <w:tc>
          <w:tcPr>
            <w:tcW w:type="dxa" w:w="700"/>
            <w:shd w:fill="F6F9FC" w:val="clear"/>
            <w:tcMar>
              <w:top w:type="dxa" w:w="75"/>
              <w:left w:type="dxa" w:w="80"/>
              <w:bottom w:type="dxa" w:w="75"/>
              <w:right w:type="dxa" w:w="80"/>
            </w:tcMar>
            <w:vAlign w:val="center"/>
          </w:tcPr>
          <w:p>
            <w:pPr>
              <w:spacing w:after="0" w:before="0" w:line="235"/>
              <w:jc w:val="right"/>
            </w:pPr>
            <w:r>
              <w:rPr>
                <w:rFonts w:ascii="Malgun Gothic" w:cs="Malgun Gothic" w:eastAsia="Malgun Gothic" w:hAnsi="Malgun Gothic"/>
                <w:b w:val="false"/>
                <w:bCs w:val="false"/>
                <w:i w:val="false"/>
                <w:iCs w:val="false"/>
                <w:color w:val="C00000"/>
                <w:sz w:val="14"/>
                <w:szCs w:val="14"/>
              </w:rPr>
              <w:t xml:space="preserve">-13.7%</w:t>
            </w:r>
          </w:p>
        </w:tc>
      </w:tr>
    </w:tbl>
    <w:p>
      <w:r>
        <w:br w:type="page"/>
      </w:r>
    </w:p>
    <w:p>
      <w:pPr>
        <w:pStyle w:val="Heading1"/>
        <w:keepNext/>
        <w:spacing w:after="100" w:before="220"/>
      </w:pPr>
      <w:r>
        <w:t xml:space="preserve">활용 방법과 계산 정의</w:t>
      </w:r>
    </w:p>
    <w:p>
      <w:pPr>
        <w:pStyle w:val="Heading2"/>
        <w:keepNext/>
        <w:spacing w:after="100" w:before="170"/>
      </w:pPr>
      <w:r>
        <w:t xml:space="preserve">발표에서 먼저 볼 순서</w:t>
      </w:r>
    </w:p>
    <w:p>
      <w:pPr>
        <w:keepNext w:val="false"/>
        <w:spacing w:after="105" w:before="0" w:line="286"/>
        <w:jc w:val="left"/>
      </w:pPr>
      <w:r>
        <w:rPr>
          <w:rFonts w:ascii="Malgun Gothic" w:cs="Malgun Gothic" w:eastAsia="Malgun Gothic" w:hAnsi="Malgun Gothic"/>
          <w:b w:val="false"/>
          <w:bCs w:val="false"/>
          <w:i w:val="false"/>
          <w:iCs w:val="false"/>
          <w:color w:val="111111"/>
          <w:sz w:val="19"/>
          <w:szCs w:val="19"/>
        </w:rPr>
        <w:t xml:space="preserve">① 전체 섹터 성과표에서 선두·최하위와 스프레드를 확인한다. ② 섹터 수익률 그림과 breadth 그림이 같은 방향인지 본다. ③ 산업그룹 그림에서 섹터 내부의 주도 산업을 찾는다. ④ 섹터별 상·하위 종목 표에서 평균이 한두 종목에 의해 왜곡됐는지 점검한다.</w:t>
      </w:r>
    </w:p>
    <w:p>
      <w:pPr>
        <w:pStyle w:val="Heading2"/>
        <w:keepNext/>
        <w:spacing w:after="100" w:before="170"/>
      </w:pPr>
      <w:r>
        <w:t xml:space="preserve">기간 정의</w:t>
      </w:r>
    </w:p>
    <w:p>
      <w:pPr>
        <w:keepNext w:val="false"/>
        <w:spacing w:after="105" w:before="0" w:line="286"/>
        <w:jc w:val="left"/>
      </w:pPr>
      <w:r>
        <w:rPr>
          <w:rFonts w:ascii="Malgun Gothic" w:cs="Malgun Gothic" w:eastAsia="Malgun Gothic" w:hAnsi="Malgun Gothic"/>
          <w:b w:val="false"/>
          <w:bCs w:val="false"/>
          <w:i w:val="false"/>
          <w:iCs w:val="false"/>
          <w:color w:val="111111"/>
          <w:sz w:val="19"/>
          <w:szCs w:val="19"/>
        </w:rPr>
        <w:t xml:space="preserve">5D=2026-08-14 종가 대비 2026-08-21 종가의 단순수익률이다. 유효 거래일 종가 여섯 개를 사용해 정확히 다섯 거래 세션의 변화를 측정했다. 사용한 종가는 2026-08-14, 2026-08-17, 2026-08-18, 2026-08-19, 2026-08-20, 2026-08-21다.</w:t>
      </w:r>
    </w:p>
    <w:p>
      <w:pPr>
        <w:pStyle w:val="Heading2"/>
        <w:keepNext/>
        <w:spacing w:after="100" w:before="170"/>
      </w:pPr>
      <w:r>
        <w:t xml:space="preserve">분류와 집계</w:t>
      </w:r>
    </w:p>
    <w:p>
      <w:pPr>
        <w:keepNext w:val="false"/>
        <w:spacing w:after="105" w:before="0" w:line="286"/>
        <w:jc w:val="left"/>
      </w:pPr>
      <w:r>
        <w:rPr>
          <w:rFonts w:ascii="Malgun Gothic" w:cs="Malgun Gothic" w:eastAsia="Malgun Gothic" w:hAnsi="Malgun Gothic"/>
          <w:b w:val="false"/>
          <w:bCs w:val="false"/>
          <w:i w:val="false"/>
          <w:iCs w:val="false"/>
          <w:color w:val="111111"/>
          <w:sz w:val="19"/>
          <w:szCs w:val="19"/>
        </w:rPr>
        <w:t xml:space="preserve">분류는 원천 BQL의 GICS Sector와 GICS Industry Group을 사용한다. 섹터·산업 수익률은 유효 구성종목의 현지통화 가격수익률을 동일가중 산술평균한다. 유럽은 통화가 혼재하므로 환산되지 않은 시가총액 가중보다 동일가중 방식이 비교 가능성이 높다.</w:t>
      </w:r>
    </w:p>
    <w:p>
      <w:pPr>
        <w:pStyle w:val="Heading2"/>
        <w:keepNext/>
        <w:spacing w:after="100" w:before="170"/>
      </w:pPr>
      <w:r>
        <w:t xml:space="preserve">데이터 주의사항</w:t>
      </w:r>
    </w:p>
    <w:p>
      <w:pPr>
        <w:keepNext w:val="false"/>
        <w:spacing w:after="105" w:before="0" w:line="286"/>
        <w:jc w:val="left"/>
      </w:pPr>
      <w:r>
        <w:rPr>
          <w:rFonts w:ascii="Malgun Gothic" w:cs="Malgun Gothic" w:eastAsia="Malgun Gothic" w:hAnsi="Malgun Gothic"/>
          <w:b w:val="false"/>
          <w:bCs w:val="false"/>
          <w:i w:val="false"/>
          <w:iCs w:val="false"/>
          <w:color w:val="666666"/>
          <w:sz w:val="19"/>
          <w:szCs w:val="19"/>
        </w:rPr>
        <w:t xml:space="preserve">현재 구성종목을 과거 구간에 소급하므로 생존편향이 있다. 배당과 환율 효과는 제외한다. 가격과 시가총액의 연속성이 크게 어긋나는 명백한 기업행위 의심치 0개는 집계와 순위에서 제외했다. 현재 Master의 TOPIX 구간에는 실제 거래 종가가 충분하지 않아, 최소 여섯 개 유효 종가를 독립적으로 보유한 최신 역사 원천의 5거래일 구간을 사용했다. 따라서 TOPIX 보고서 기준일은 2026-08-21다.</w:t>
      </w:r>
    </w:p>
    <w:p>
      <w:pPr>
        <w:keepNext w:val="false"/>
        <w:spacing w:after="105" w:before="0" w:line="286"/>
        <w:jc w:val="left"/>
      </w:pPr>
      <w:r>
        <w:rPr>
          <w:rFonts w:ascii="Malgun Gothic" w:cs="Malgun Gothic" w:eastAsia="Malgun Gothic" w:hAnsi="Malgun Gothic"/>
          <w:b w:val="false"/>
          <w:bCs w:val="false"/>
          <w:i w:val="false"/>
          <w:iCs w:val="false"/>
          <w:color w:val="666666"/>
          <w:sz w:val="15"/>
          <w:szCs w:val="15"/>
        </w:rPr>
        <w:t xml:space="preserve">원자료: C:\Users\infomax\Documents\python\모닝미팅_리서치발표\새 폴더\BQL_Market_Rotation_Transfer_20260901\raw\consolidated_reference\Bquant_All_19_Grouped_Raw.xlsx · 시트: Stock_Daily</w:t>
      </w:r>
    </w:p>
    <w:p>
      <w:pPr>
        <w:keepNext w:val="false"/>
        <w:spacing w:after="105" w:before="0" w:line="286"/>
        <w:jc w:val="left"/>
      </w:pPr>
      <w:r>
        <w:rPr>
          <w:rFonts w:ascii="Malgun Gothic" w:cs="Malgun Gothic" w:eastAsia="Malgun Gothic" w:hAnsi="Malgun Gothic"/>
          <w:b w:val="false"/>
          <w:bCs w:val="false"/>
          <w:i w:val="false"/>
          <w:iCs w:val="false"/>
          <w:color w:val="666666"/>
          <w:sz w:val="15"/>
          <w:szCs w:val="15"/>
        </w:rPr>
        <w:t xml:space="preserve">계산 JSON: C:\Users\infomax\Documents\python\QAE\데일리시황\BQL\Theme\Sector_Industry\Reports\output\data\STOXX600_TOPIX_Sector_Industry_5D_20260904.json</w:t>
      </w:r>
    </w:p>
    <w:sectPr>
      <w:headerReference w:type="default" r:id="rId7"/>
      <w:footerReference w:type="default" r:id="rId8"/>
      <w:pgSz w:w="12240" w:h="15840" w:orient="portrait"/>
      <w:pgMar w:top="650" w:right="650" w:bottom="650" w:left="650" w:header="320" w:footer="3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algun Gothic" w:cs="Malgun Gothic" w:eastAsia="Malgun Gothic" w:hAnsi="Malgun Gothic"/>
        <w:b w:val="false"/>
        <w:bCs w:val="false"/>
        <w:i w:val="false"/>
        <w:iCs w:val="false"/>
        <w:color w:val="666666"/>
        <w:sz w:val="13"/>
        <w:szCs w:val="13"/>
      </w:rPr>
      <w:t xml:space="preserve">2026-08-21  |  </w:t>
    </w:r>
    <w:r>
      <w:rPr>
        <w:rFonts w:ascii="Malgun Gothic" w:cs="Malgun Gothic" w:eastAsia="Malgun Gothic" w:hAnsi="Malgun Gothic"/>
        <w:color w:val="666666"/>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b w:val="false"/>
        <w:bCs w:val="false"/>
        <w:i w:val="false"/>
        <w:iCs w:val="false"/>
        <w:color w:val="666666"/>
        <w:sz w:val="13"/>
        <w:szCs w:val="13"/>
      </w:rPr>
      <w:t xml:space="preserve">TOPIX · Sector and Industry · 5D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pPr>
        <w:spacing w:line="28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20"/>
      <w:jc w:val="center"/>
    </w:pPr>
    <w:rPr>
      <w:rFonts w:ascii="Malgun Gothic" w:cs="Malgun Gothic" w:eastAsia="Malgun Gothic" w:hAnsi="Malgun Gothic"/>
      <w:b/>
      <w:bCs/>
      <w:color w:val="17365D"/>
      <w:sz w:val="40"/>
      <w:szCs w:val="40"/>
    </w:rPr>
  </w:style>
  <w:style w:type="paragraph" w:styleId="Heading1">
    <w:name w:val="Heading 1"/>
    <w:basedOn w:val="Normal"/>
    <w:next w:val="Normal"/>
    <w:qFormat/>
    <w:pPr>
      <w:spacing w:after="110" w:before="220"/>
      <w:outlineLvl w:val="0"/>
    </w:pPr>
    <w:rPr>
      <w:rFonts w:ascii="Malgun Gothic" w:cs="Malgun Gothic" w:eastAsia="Malgun Gothic" w:hAnsi="Malgun Gothic"/>
      <w:b/>
      <w:bCs/>
      <w:color w:val="17365D"/>
      <w:sz w:val="28"/>
      <w:szCs w:val="28"/>
    </w:rPr>
  </w:style>
  <w:style w:type="paragraph" w:styleId="Heading2">
    <w:name w:val="Heading 2"/>
    <w:basedOn w:val="Normal"/>
    <w:next w:val="Normal"/>
    <w:qFormat/>
    <w:pPr>
      <w:spacing w:after="80" w:before="170"/>
      <w:outlineLvl w:val="1"/>
    </w:pPr>
    <w:rPr>
      <w:rFonts w:ascii="Malgun Gothic" w:cs="Malgun Gothic" w:eastAsia="Malgun Gothic" w:hAnsi="Malgun Gothic"/>
      <w:b/>
      <w:bCs/>
      <w:color w:val="2F75B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e838a74487cf452e54e708fc53bb861987ce40.png"/><Relationship Id="rId10" Type="http://schemas.openxmlformats.org/officeDocument/2006/relationships/image" Target="media/270246a8b884634c5c23e6653f5daf77deeb474f.png"/><Relationship Id="rId11" Type="http://schemas.openxmlformats.org/officeDocument/2006/relationships/image" Target="media/c659d15591a8095a694121f12b15c2cfc7b1fe80.png"/><Relationship Id="rId12" Type="http://schemas.openxmlformats.org/officeDocument/2006/relationships/image" Target="media/161ea0872923aca8567f9350f373705760a43636.png"/><Relationship Id="rId13" Type="http://schemas.openxmlformats.org/officeDocument/2006/relationships/image" Target="media/429111328b7e99e5db9e21c58e5e03591ac1ba38.png"/><Relationship Id="rId14" Type="http://schemas.openxmlformats.org/officeDocument/2006/relationships/image" Target="media/decc773d5bd7f6081097464a58ab4101b8f16ea3.png"/><Relationship Id="rId15" Type="http://schemas.openxmlformats.org/officeDocument/2006/relationships/image" Target="media/c866e7c2c88cea1d6c3c07f11187d1a3807cb73d.png"/><Relationship Id="rId16" Type="http://schemas.openxmlformats.org/officeDocument/2006/relationships/image" Target="media/d25ff642705d6e4a5e62d85dcdb114ea4a13f6c3.png"/><Relationship Id="rId17" Type="http://schemas.openxmlformats.org/officeDocument/2006/relationships/image" Target="media/f905c2dbbd72e9012db78ffa1449150b675c28bb.png"/><Relationship Id="rId18" Type="http://schemas.openxmlformats.org/officeDocument/2006/relationships/image" Target="media/92cfad6c2cfc01d5cf21116b267e35a04c212c5a.png"/><Relationship Id="rId19" Type="http://schemas.openxmlformats.org/officeDocument/2006/relationships/image" Target="media/ec07113ab50735f6a09a93de1b6f86125d470887.png"/><Relationship Id="rId20" Type="http://schemas.openxmlformats.org/officeDocument/2006/relationships/image" Target="media/d6d98f2a76c65a4c83f6b8b7077e30f8c36eeca4.png"/><Relationship Id="rId21" Type="http://schemas.openxmlformats.org/officeDocument/2006/relationships/image" Target="media/d08bc9f269179702f20366f09a15fa7b1c3bc567.png"/><Relationship Id="rId22" Type="http://schemas.openxmlformats.org/officeDocument/2006/relationships/image" Target="media/21ec869459469b6b796a38b7d480922a194f156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TOPIX 섹터와 산업 최근 5거래일 보고서</dc:title>
  <dc:creator>OpenAI Codex</dc:creator>
  <dc:description>BQuant sector and GICS industry group performance with sector-level top gainers and bottom losers</dc:description>
  <cp:lastModifiedBy>Un-named</cp:lastModifiedBy>
  <cp:revision>1</cp:revision>
  <dcterms:created xsi:type="dcterms:W3CDTF">2026-09-07T18:02:14.136Z</dcterms:created>
  <dcterms:modified xsi:type="dcterms:W3CDTF">2026-09-07T18:02:14.137Z</dcterms:modified>
</cp:coreProperties>
</file>

<file path=docProps/custom.xml><?xml version="1.0" encoding="utf-8"?>
<Properties xmlns="http://schemas.openxmlformats.org/officeDocument/2006/custom-properties" xmlns:vt="http://schemas.openxmlformats.org/officeDocument/2006/docPropsVTypes"/>
</file>