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Aptos" w:cs="Aptos" w:eastAsia="Aptos" w:hAnsi="Aptos"/>
          <w:b/>
          <w:bCs/>
          <w:i w:val="false"/>
          <w:iCs w:val="false"/>
          <w:color w:val="183B6B"/>
          <w:sz w:val="34"/>
          <w:szCs w:val="34"/>
        </w:rPr>
        <w:t xml:space="preserve">S&amp;P 500 AI VALUE-CHAIN ROTATION</w:t>
      </w:r>
    </w:p>
    <w:p>
      <w:pPr>
        <w:spacing w:after="130" w:line="300"/>
      </w:pPr>
      <w:r>
        <w:rPr>
          <w:rFonts w:ascii="Aptos" w:cs="Aptos" w:eastAsia="Aptos" w:hAnsi="Aptos"/>
          <w:b/>
          <w:bCs/>
          <w:i w:val="false"/>
          <w:iCs w:val="false"/>
          <w:color w:val="2563EB"/>
          <w:sz w:val="27"/>
          <w:szCs w:val="27"/>
        </w:rPr>
        <w:t xml:space="preserve">Hardware leadership is correcting; application-layer breadth has improved</w:t>
      </w:r>
    </w:p>
    <w:p>
      <w:pPr>
        <w:spacing w:after="240" w:line="300"/>
      </w:pPr>
      <w:r>
        <w:rPr>
          <w:rFonts w:ascii="Aptos" w:cs="Aptos" w:eastAsia="Aptos" w:hAnsi="Aptos"/>
          <w:b w:val="false"/>
          <w:bCs w:val="false"/>
          <w:i w:val="false"/>
          <w:iCs w:val="false"/>
          <w:color w:val="6B7280"/>
          <w:sz w:val="20"/>
          <w:szCs w:val="20"/>
        </w:rPr>
        <w:t xml:space="preserve">PM research note · Data through 2026-09-01 · 503 S&amp;P 500 securities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AF2FC" w:val="clear"/>
            <w:tcMar>
              <w:top w:type="dxa" w:w="90"/>
              <w:left w:type="dxa" w:w="100"/>
              <w:bottom w:type="dxa" w:w="90"/>
              <w:right w:type="dxa" w:w="100"/>
            </w:tcMar>
          </w:tcPr>
          <w:p>
            <w:pPr>
              <w:spacing w:after="0" w:line="300"/>
            </w:pPr>
            <w:r>
              <w:rPr>
                <w:rFonts w:ascii="Aptos" w:cs="Aptos" w:eastAsia="Aptos" w:hAnsi="Aptos"/>
                <w:b/>
                <w:bCs/>
                <w:i w:val="false"/>
                <w:iCs w:val="false"/>
                <w:color w:val="183B6B"/>
                <w:sz w:val="18"/>
                <w:szCs w:val="18"/>
              </w:rPr>
              <w:t xml:space="preserve">1M leader</w:t>
            </w:r>
          </w:p>
        </w:tc>
        <w:tc>
          <w:tcPr>
            <w:shd w:fill="EAF2FC" w:val="clear"/>
            <w:tcMar>
              <w:top w:type="dxa" w:w="90"/>
              <w:left w:type="dxa" w:w="100"/>
              <w:bottom w:type="dxa" w:w="90"/>
              <w:right w:type="dxa" w:w="100"/>
            </w:tcMar>
          </w:tcPr>
          <w:p>
            <w:pPr>
              <w:spacing w:after="0" w:line="300"/>
            </w:pPr>
            <w:r>
              <w:rPr>
                <w:rFonts w:ascii="Aptos" w:cs="Aptos" w:eastAsia="Aptos" w:hAnsi="Aptos"/>
                <w:b/>
                <w:bCs/>
                <w:i w:val="false"/>
                <w:iCs w:val="false"/>
                <w:color w:val="15803D"/>
                <w:sz w:val="18"/>
                <w:szCs w:val="18"/>
              </w:rPr>
              <w:t xml:space="preserve">AI Software +11.2%</w:t>
            </w:r>
          </w:p>
        </w:tc>
        <w:tc>
          <w:tcPr>
            <w:shd w:fill="EAF2FC" w:val="clear"/>
            <w:tcMar>
              <w:top w:type="dxa" w:w="90"/>
              <w:left w:type="dxa" w:w="100"/>
              <w:bottom w:type="dxa" w:w="90"/>
              <w:right w:type="dxa" w:w="100"/>
            </w:tcMar>
          </w:tcPr>
          <w:p>
            <w:pPr>
              <w:spacing w:after="0" w:line="300"/>
            </w:pPr>
            <w:r>
              <w:rPr>
                <w:rFonts w:ascii="Aptos" w:cs="Aptos" w:eastAsia="Aptos" w:hAnsi="Aptos"/>
                <w:b/>
                <w:bCs/>
                <w:i w:val="false"/>
                <w:iCs w:val="false"/>
                <w:color w:val="183B6B"/>
                <w:sz w:val="18"/>
                <w:szCs w:val="18"/>
              </w:rPr>
              <w:t xml:space="preserve">3M signal</w:t>
            </w:r>
          </w:p>
        </w:tc>
        <w:tc>
          <w:tcPr>
            <w:shd w:fill="EAF2FC" w:val="clear"/>
            <w:tcMar>
              <w:top w:type="dxa" w:w="90"/>
              <w:left w:type="dxa" w:w="100"/>
              <w:bottom w:type="dxa" w:w="90"/>
              <w:right w:type="dxa" w:w="100"/>
            </w:tcMar>
          </w:tcPr>
          <w:p>
            <w:pPr>
              <w:spacing w:after="0" w:line="300"/>
            </w:pPr>
            <w:r>
              <w:rPr>
                <w:rFonts w:ascii="Aptos" w:cs="Aptos" w:eastAsia="Aptos" w:hAnsi="Aptos"/>
                <w:b/>
                <w:bCs/>
                <w:i w:val="false"/>
                <w:iCs w:val="false"/>
                <w:color w:val="183B6B"/>
                <w:sz w:val="18"/>
                <w:szCs w:val="18"/>
              </w:rPr>
              <w:t xml:space="preserve">Hardware unwind / software resilience</w:t>
            </w:r>
          </w:p>
        </w:tc>
      </w:tr>
    </w:tbl>
    <w:p>
      <w:pPr>
        <w:pStyle w:val="Heading1"/>
        <w:spacing w:after="120" w:line="300"/>
      </w:pPr>
      <w:r>
        <w:rPr>
          <w:rFonts w:ascii="Aptos" w:cs="Aptos" w:eastAsia="Aptos" w:hAnsi="Aptos"/>
          <w:b w:val="false"/>
          <w:bCs w:val="false"/>
          <w:i w:val="false"/>
          <w:iCs w:val="false"/>
          <w:sz w:val="20"/>
          <w:szCs w:val="20"/>
        </w:rPr>
        <w:t xml:space="preserve">Executive Summary</w:t>
      </w:r>
    </w:p>
    <w:p>
      <w:pPr>
        <w:pStyle w:val="ListParagraph"/>
        <w:numPr>
          <w:ilvl w:val="0"/>
          <w:numId w:val="1"/>
        </w:numPr>
        <w:spacing w:after="90" w:line="290"/>
      </w:pPr>
      <w:r>
        <w:rPr>
          <w:rFonts w:ascii="Aptos" w:cs="Aptos" w:eastAsia="Aptos" w:hAnsi="Aptos"/>
          <w:b/>
          <w:bCs/>
          <w:i w:val="false"/>
          <w:iCs w:val="false"/>
          <w:color w:val="15803D"/>
          <w:sz w:val="20"/>
          <w:szCs w:val="20"/>
        </w:rPr>
        <w:t xml:space="preserve">[FACT] </w:t>
      </w:r>
      <w:r>
        <w:rPr>
          <w:rFonts w:ascii="Aptos" w:cs="Aptos" w:eastAsia="Aptos" w:hAnsi="Aptos"/>
          <w:b w:val="false"/>
          <w:bCs w:val="false"/>
          <w:i w:val="false"/>
          <w:iCs w:val="false"/>
          <w:sz w:val="20"/>
          <w:szCs w:val="20"/>
        </w:rPr>
        <w:t xml:space="preserve">Over the latest month, the Core AI Software basket rose +11.2% versus -0.4% for the equal-weight S&amp;P 500. Four of five Core software names were positive.</w:t>
      </w:r>
    </w:p>
    <w:p>
      <w:pPr>
        <w:pStyle w:val="ListParagraph"/>
        <w:numPr>
          <w:ilvl w:val="0"/>
          <w:numId w:val="1"/>
        </w:numPr>
        <w:spacing w:after="90" w:line="290"/>
      </w:pPr>
      <w:r>
        <w:rPr>
          <w:rFonts w:ascii="Aptos" w:cs="Aptos" w:eastAsia="Aptos" w:hAnsi="Aptos"/>
          <w:b/>
          <w:bCs/>
          <w:i w:val="false"/>
          <w:iCs w:val="false"/>
          <w:color w:val="15803D"/>
          <w:sz w:val="20"/>
          <w:szCs w:val="20"/>
        </w:rPr>
        <w:t xml:space="preserve">[FACT] </w:t>
      </w:r>
      <w:r>
        <w:rPr>
          <w:rFonts w:ascii="Aptos" w:cs="Aptos" w:eastAsia="Aptos" w:hAnsi="Aptos"/>
          <w:b w:val="false"/>
          <w:bCs w:val="false"/>
          <w:i w:val="false"/>
          <w:iCs w:val="false"/>
          <w:sz w:val="20"/>
          <w:szCs w:val="20"/>
        </w:rPr>
        <w:t xml:space="preserve">The prior hardware leaders reversed: Core Compute/Memory returned -12.5%, Systems/Networking -13.9% and Semicap/EDA -10.3% over three months.</w:t>
      </w:r>
    </w:p>
    <w:p>
      <w:pPr>
        <w:pStyle w:val="ListParagraph"/>
        <w:numPr>
          <w:ilvl w:val="0"/>
          <w:numId w:val="1"/>
        </w:numPr>
        <w:spacing w:after="90" w:line="290"/>
      </w:pPr>
      <w:r>
        <w:rPr>
          <w:rFonts w:ascii="Aptos" w:cs="Aptos" w:eastAsia="Aptos" w:hAnsi="Aptos"/>
          <w:b/>
          <w:bCs/>
          <w:i w:val="false"/>
          <w:iCs w:val="false"/>
          <w:color w:val="15803D"/>
          <w:sz w:val="20"/>
          <w:szCs w:val="20"/>
        </w:rPr>
        <w:t xml:space="preserve">[FACT] </w:t>
      </w:r>
      <w:r>
        <w:rPr>
          <w:rFonts w:ascii="Aptos" w:cs="Aptos" w:eastAsia="Aptos" w:hAnsi="Aptos"/>
          <w:b w:val="false"/>
          <w:bCs w:val="false"/>
          <w:i w:val="false"/>
          <w:iCs w:val="false"/>
          <w:sz w:val="20"/>
          <w:szCs w:val="20"/>
        </w:rPr>
        <w:t xml:space="preserve">This is occurring after a very large six-month run: Compute/Memory +101.1% and Systems/Networking +69.4%. The recent weakness therefore looks like a de-rating/position unwind from extreme winners, not proof that AI infrastructure demand has disappeared.</w:t>
      </w:r>
    </w:p>
    <w:p>
      <w:pPr>
        <w:pStyle w:val="ListParagraph"/>
        <w:numPr>
          <w:ilvl w:val="0"/>
          <w:numId w:val="1"/>
        </w:numPr>
        <w:spacing w:after="90" w:line="290"/>
      </w:pPr>
      <w:r>
        <w:rPr>
          <w:rFonts w:ascii="Aptos" w:cs="Aptos" w:eastAsia="Aptos" w:hAnsi="Aptos"/>
          <w:b/>
          <w:bCs/>
          <w:i w:val="false"/>
          <w:iCs w:val="false"/>
          <w:color w:val="2563EB"/>
          <w:sz w:val="20"/>
          <w:szCs w:val="20"/>
        </w:rPr>
        <w:t xml:space="preserve">[INFERENCE] </w:t>
      </w:r>
      <w:r>
        <w:rPr>
          <w:rFonts w:ascii="Aptos" w:cs="Aptos" w:eastAsia="Aptos" w:hAnsi="Aptos"/>
          <w:b w:val="false"/>
          <w:bCs w:val="false"/>
          <w:i w:val="false"/>
          <w:iCs w:val="false"/>
          <w:sz w:val="20"/>
          <w:szCs w:val="20"/>
        </w:rPr>
        <w:t xml:space="preserve">The rotation is currently inside the AI complex—from capital-intensive infrastructure toward software and selected edge applications—more than a clean move from AI into non-AI equities.</w:t>
      </w:r>
    </w:p>
    <w:p>
      <w:pPr>
        <w:pStyle w:val="ListParagraph"/>
        <w:numPr>
          <w:ilvl w:val="0"/>
          <w:numId w:val="1"/>
        </w:numPr>
        <w:spacing w:after="90" w:line="290"/>
      </w:pPr>
      <w:r>
        <w:rPr>
          <w:rFonts w:ascii="Aptos" w:cs="Aptos" w:eastAsia="Aptos" w:hAnsi="Aptos"/>
          <w:b/>
          <w:bCs/>
          <w:i w:val="false"/>
          <w:iCs w:val="false"/>
          <w:color w:val="2563EB"/>
          <w:sz w:val="20"/>
          <w:szCs w:val="20"/>
        </w:rPr>
        <w:t xml:space="preserve">[INFERENCE] </w:t>
      </w:r>
      <w:r>
        <w:rPr>
          <w:rFonts w:ascii="Aptos" w:cs="Aptos" w:eastAsia="Aptos" w:hAnsi="Aptos"/>
          <w:b w:val="false"/>
          <w:bCs w:val="false"/>
          <w:i w:val="false"/>
          <w:iCs w:val="false"/>
          <w:sz w:val="20"/>
          <w:szCs w:val="20"/>
        </w:rPr>
        <w:t xml:space="preserve">For a PM, the key confirmation is whether software relative strength survives beyond a short squeeze and becomes broader EPS revision leadership, while hardware earnings remain solid despite price consolidation.</w:t>
      </w:r>
    </w:p>
    <w:p>
      <w:pPr>
        <w:pStyle w:val="Heading1"/>
        <w:spacing w:after="120" w:line="300"/>
      </w:pPr>
      <w:r>
        <w:rPr>
          <w:rFonts w:ascii="Aptos" w:cs="Aptos" w:eastAsia="Aptos" w:hAnsi="Aptos"/>
          <w:b w:val="false"/>
          <w:bCs w:val="false"/>
          <w:i w:val="false"/>
          <w:iCs w:val="false"/>
          <w:sz w:val="20"/>
          <w:szCs w:val="20"/>
        </w:rPr>
        <w:t xml:space="preserve">Key Findings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83B6B" w:val="clear"/>
            <w:tcMar>
              <w:top w:type="dxa" w:w="90"/>
              <w:left w:type="dxa" w:w="100"/>
              <w:bottom w:type="dxa" w:w="90"/>
              <w:right w:type="dxa" w:w="100"/>
            </w:tcMar>
          </w:tcPr>
          <w:p>
            <w:pPr>
              <w:spacing w:after="0" w:line="300"/>
              <w:jc w:val="center"/>
            </w:pPr>
            <w:r>
              <w:rPr>
                <w:rFonts w:ascii="Aptos" w:cs="Aptos" w:eastAsia="Aptos" w:hAnsi="Aptos"/>
                <w:b/>
                <w:bCs/>
                <w:i w:val="false"/>
                <w:iCs w:val="false"/>
                <w:color w:val="FFFFFF"/>
                <w:sz w:val="18"/>
                <w:szCs w:val="18"/>
              </w:rPr>
              <w:t xml:space="preserve">Core value-chain stage</w:t>
            </w:r>
          </w:p>
        </w:tc>
        <w:tc>
          <w:tcPr>
            <w:shd w:fill="183B6B" w:val="clear"/>
            <w:tcMar>
              <w:top w:type="dxa" w:w="90"/>
              <w:left w:type="dxa" w:w="100"/>
              <w:bottom w:type="dxa" w:w="90"/>
              <w:right w:type="dxa" w:w="100"/>
            </w:tcMar>
          </w:tcPr>
          <w:p>
            <w:pPr>
              <w:spacing w:after="0" w:line="300"/>
              <w:jc w:val="center"/>
            </w:pPr>
            <w:r>
              <w:rPr>
                <w:rFonts w:ascii="Aptos" w:cs="Aptos" w:eastAsia="Aptos" w:hAnsi="Aptos"/>
                <w:b/>
                <w:bCs/>
                <w:i w:val="false"/>
                <w:iCs w:val="false"/>
                <w:color w:val="FFFFFF"/>
                <w:sz w:val="18"/>
                <w:szCs w:val="18"/>
              </w:rPr>
              <w:t xml:space="preserve">1M</w:t>
            </w:r>
          </w:p>
        </w:tc>
        <w:tc>
          <w:tcPr>
            <w:shd w:fill="183B6B" w:val="clear"/>
            <w:tcMar>
              <w:top w:type="dxa" w:w="90"/>
              <w:left w:type="dxa" w:w="100"/>
              <w:bottom w:type="dxa" w:w="90"/>
              <w:right w:type="dxa" w:w="100"/>
            </w:tcMar>
          </w:tcPr>
          <w:p>
            <w:pPr>
              <w:spacing w:after="0" w:line="300"/>
              <w:jc w:val="center"/>
            </w:pPr>
            <w:r>
              <w:rPr>
                <w:rFonts w:ascii="Aptos" w:cs="Aptos" w:eastAsia="Aptos" w:hAnsi="Aptos"/>
                <w:b/>
                <w:bCs/>
                <w:i w:val="false"/>
                <w:iCs w:val="false"/>
                <w:color w:val="FFFFFF"/>
                <w:sz w:val="18"/>
                <w:szCs w:val="18"/>
              </w:rPr>
              <w:t xml:space="preserve">vs SPX EW</w:t>
            </w:r>
          </w:p>
        </w:tc>
        <w:tc>
          <w:tcPr>
            <w:shd w:fill="183B6B" w:val="clear"/>
            <w:tcMar>
              <w:top w:type="dxa" w:w="90"/>
              <w:left w:type="dxa" w:w="100"/>
              <w:bottom w:type="dxa" w:w="90"/>
              <w:right w:type="dxa" w:w="100"/>
            </w:tcMar>
          </w:tcPr>
          <w:p>
            <w:pPr>
              <w:spacing w:after="0" w:line="300"/>
              <w:jc w:val="center"/>
            </w:pPr>
            <w:r>
              <w:rPr>
                <w:rFonts w:ascii="Aptos" w:cs="Aptos" w:eastAsia="Aptos" w:hAnsi="Aptos"/>
                <w:b/>
                <w:bCs/>
                <w:i w:val="false"/>
                <w:iCs w:val="false"/>
                <w:color w:val="FFFFFF"/>
                <w:sz w:val="18"/>
                <w:szCs w:val="18"/>
              </w:rPr>
              <w:t xml:space="preserve">3M</w:t>
            </w:r>
          </w:p>
        </w:tc>
        <w:tc>
          <w:tcPr>
            <w:shd w:fill="183B6B" w:val="clear"/>
            <w:tcMar>
              <w:top w:type="dxa" w:w="90"/>
              <w:left w:type="dxa" w:w="100"/>
              <w:bottom w:type="dxa" w:w="90"/>
              <w:right w:type="dxa" w:w="100"/>
            </w:tcMar>
          </w:tcPr>
          <w:p>
            <w:pPr>
              <w:spacing w:after="0" w:line="300"/>
              <w:jc w:val="center"/>
            </w:pPr>
            <w:r>
              <w:rPr>
                <w:rFonts w:ascii="Aptos" w:cs="Aptos" w:eastAsia="Aptos" w:hAnsi="Aptos"/>
                <w:b/>
                <w:bCs/>
                <w:i w:val="false"/>
                <w:iCs w:val="false"/>
                <w:color w:val="FFFFFF"/>
                <w:sz w:val="18"/>
                <w:szCs w:val="18"/>
              </w:rPr>
              <w:t xml:space="preserve">6M</w:t>
            </w:r>
          </w:p>
        </w:tc>
        <w:tc>
          <w:tcPr>
            <w:shd w:fill="183B6B" w:val="clear"/>
            <w:tcMar>
              <w:top w:type="dxa" w:w="90"/>
              <w:left w:type="dxa" w:w="100"/>
              <w:bottom w:type="dxa" w:w="90"/>
              <w:right w:type="dxa" w:w="100"/>
            </w:tcMar>
          </w:tcPr>
          <w:p>
            <w:pPr>
              <w:spacing w:after="0" w:line="300"/>
              <w:jc w:val="center"/>
            </w:pPr>
            <w:r>
              <w:rPr>
                <w:rFonts w:ascii="Aptos" w:cs="Aptos" w:eastAsia="Aptos" w:hAnsi="Aptos"/>
                <w:b/>
                <w:bCs/>
                <w:i w:val="false"/>
                <w:iCs w:val="false"/>
                <w:color w:val="FFFFFF"/>
                <w:sz w:val="18"/>
                <w:szCs w:val="18"/>
              </w:rPr>
              <w:t xml:space="preserve">1M breadth</w:t>
            </w:r>
          </w:p>
        </w:tc>
      </w:tr>
      <w:tr>
        <w:tc>
          <w:tcPr>
            <w:shd w:fill="F3F5F8"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AI Software</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+11.2%</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+11.7%</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+3.4%</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+15.3%</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+80.0%</w:t>
            </w:r>
          </w:p>
        </w:tc>
      </w:tr>
      <w:tr>
        <w:tc>
          <w:tcPr>
            <w:shd w:fill="FFFFFF"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Edge / Physical AI</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+3.9%</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+4.3%</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-8.5%</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+9.6%</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+66.7%</w:t>
            </w:r>
          </w:p>
        </w:tc>
      </w:tr>
      <w:tr>
        <w:tc>
          <w:tcPr>
            <w:shd w:fill="F3F5F8"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Systems / Network</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-1.4%</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-1.0%</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-13.9%</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+69.4%</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+28.6%</w:t>
            </w:r>
          </w:p>
        </w:tc>
      </w:tr>
      <w:tr>
        <w:tc>
          <w:tcPr>
            <w:shd w:fill="FFFFFF"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Compute / Memory</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-2.1%</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-1.7%</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-12.5%</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+101.1%</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+40.0%</w:t>
            </w:r>
          </w:p>
        </w:tc>
      </w:tr>
      <w:tr>
        <w:tc>
          <w:tcPr>
            <w:shd w:fill="F3F5F8"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Cloud / Platforms</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-2.7%</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-2.3%</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-7.4%</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+11.6%</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+40.0%</w:t>
            </w:r>
          </w:p>
        </w:tc>
      </w:tr>
      <w:tr>
        <w:tc>
          <w:tcPr>
            <w:shd w:fill="FFFFFF"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Power / Data Center</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-5.5%</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-5.0%</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-6.9%</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+4.0%</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+12.5%</w:t>
            </w:r>
          </w:p>
        </w:tc>
      </w:tr>
      <w:tr>
        <w:tc>
          <w:tcPr>
            <w:shd w:fill="F3F5F8"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Semicap / EDA</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-6.1%</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-5.7%</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-10.3%</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+24.7%</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+16.7%</w:t>
            </w:r>
          </w:p>
        </w:tc>
      </w:tr>
    </w:tbl>
    <w:p>
      <w:pPr>
        <w:spacing w:after="180" w:line="300"/>
      </w:pPr>
      <w:r>
        <w:rPr>
          <w:rFonts w:ascii="Aptos" w:cs="Aptos" w:eastAsia="Aptos" w:hAnsi="Aptos"/>
          <w:b w:val="false"/>
          <w:bCs w:val="false"/>
          <w:i w:val="false"/>
          <w:iCs w:val="false"/>
          <w:sz w:val="20"/>
          <w:szCs w:val="20"/>
        </w:rPr>
        <w:t xml:space="preserve">Interpretation: the 1M winner is the application layer, while every Core infrastructure stage is negative over 3M. Yet the 6M ranking remains dominated by compute and systems. This is a sharp timing rotation, not yet a change in the structural capex regime.</w:t>
      </w:r>
    </w:p>
    <w:p>
      <w:pPr>
        <w:pStyle w:val="Heading1"/>
        <w:pageBreakBefore/>
        <w:spacing w:after="120" w:line="300"/>
      </w:pPr>
      <w:r>
        <w:rPr>
          <w:rFonts w:ascii="Aptos" w:cs="Aptos" w:eastAsia="Aptos" w:hAnsi="Aptos"/>
          <w:b w:val="false"/>
          <w:bCs w:val="false"/>
          <w:i w:val="false"/>
          <w:iCs w:val="false"/>
          <w:sz w:val="20"/>
          <w:szCs w:val="20"/>
        </w:rPr>
        <w:t xml:space="preserve">Detailed Analysis</w:t>
      </w:r>
    </w:p>
    <w:p>
      <w:pPr>
        <w:pStyle w:val="Heading2"/>
        <w:spacing w:after="120" w:line="300"/>
      </w:pPr>
      <w:r>
        <w:rPr>
          <w:rFonts w:ascii="Aptos" w:cs="Aptos" w:eastAsia="Aptos" w:hAnsi="Aptos"/>
          <w:b w:val="false"/>
          <w:bCs w:val="false"/>
          <w:i w:val="false"/>
          <w:iCs w:val="false"/>
          <w:sz w:val="20"/>
          <w:szCs w:val="20"/>
        </w:rPr>
        <w:t xml:space="preserve">1. What has rotated?</w:t>
      </w:r>
    </w:p>
    <w:p>
      <w:pPr>
        <w:spacing w:after="120" w:line="300"/>
      </w:pPr>
      <w:r>
        <w:rPr>
          <w:rFonts w:ascii="Aptos" w:cs="Aptos" w:eastAsia="Aptos" w:hAnsi="Aptos"/>
          <w:b w:val="false"/>
          <w:bCs w:val="false"/>
          <w:i w:val="false"/>
          <w:iCs w:val="false"/>
          <w:sz w:val="20"/>
          <w:szCs w:val="20"/>
        </w:rPr>
        <w:t xml:space="preserve">The strongest short-window move is software. Core AI Software gained +11.4% in one week and +11.2% in one month. CRM and NOW were the largest one-month contributors at +34.8% and +25.3%; PLTR and ADBE also rose. APP fell sharply, which is why the basket's breadth and median are more informative than its mean alone.</w:t>
      </w:r>
    </w:p>
    <w:p>
      <w:pPr>
        <w:spacing w:after="120" w:line="300"/>
      </w:pPr>
      <w:r>
        <w:rPr>
          <w:rFonts w:ascii="Aptos" w:cs="Aptos" w:eastAsia="Aptos" w:hAnsi="Aptos"/>
          <w:b w:val="false"/>
          <w:bCs w:val="false"/>
          <w:i w:val="false"/>
          <w:iCs w:val="false"/>
          <w:sz w:val="20"/>
          <w:szCs w:val="20"/>
        </w:rPr>
        <w:t xml:space="preserve">By contrast, Core Semicap/EDA fell -6.1%, Power/Data Center -5.5% and Compute/Memory -2.1%. Their 1M positive breadth was 17%, 12% and 40%, respectively. The weakness is therefore broad within those stages, not only a single-stock event.</w:t>
      </w:r>
    </w:p>
    <w:p>
      <w:pPr>
        <w:pStyle w:val="Heading2"/>
        <w:spacing w:after="120" w:line="300"/>
      </w:pPr>
      <w:r>
        <w:rPr>
          <w:rFonts w:ascii="Aptos" w:cs="Aptos" w:eastAsia="Aptos" w:hAnsi="Aptos"/>
          <w:b w:val="false"/>
          <w:bCs w:val="false"/>
          <w:i w:val="false"/>
          <w:iCs w:val="false"/>
          <w:sz w:val="20"/>
          <w:szCs w:val="20"/>
        </w:rPr>
        <w:t xml:space="preserve">2. Why this does not yet equal an AI-exodus call</w:t>
      </w:r>
    </w:p>
    <w:p>
      <w:pPr>
        <w:spacing w:after="120" w:line="300"/>
      </w:pPr>
      <w:r>
        <w:rPr>
          <w:rFonts w:ascii="Aptos" w:cs="Aptos" w:eastAsia="Aptos" w:hAnsi="Aptos"/>
          <w:b w:val="false"/>
          <w:bCs w:val="false"/>
          <w:i w:val="false"/>
          <w:iCs w:val="false"/>
          <w:sz w:val="20"/>
          <w:szCs w:val="20"/>
        </w:rPr>
        <w:t xml:space="preserve">The six-month return gap is still enormous: Core Compute/Memory +101.1%, Systems/Networking +69.4% and Semicap/EDA +24.7%, compared with +9.2% for the equal-weight S&amp;P 500. A three-month drawdown after that run can be explained by crowded-position unwinding and multiple compression even if end demand remains intact.</w:t>
      </w:r>
    </w:p>
    <w:p>
      <w:pPr>
        <w:spacing w:after="120" w:line="300"/>
      </w:pPr>
      <w:r>
        <w:rPr>
          <w:rFonts w:ascii="Aptos" w:cs="Aptos" w:eastAsia="Aptos" w:hAnsi="Aptos"/>
          <w:b w:val="false"/>
          <w:bCs w:val="false"/>
          <w:i w:val="false"/>
          <w:iCs w:val="false"/>
          <w:sz w:val="20"/>
          <w:szCs w:val="20"/>
        </w:rPr>
        <w:t xml:space="preserve">[FACT] The infrastructure demand backdrop remains strong in primary disclosures. The IEA expects data-center electricity use to more than double toward 2030, and recent company reports from NVIDIA, Broadcom, Arista, Vertiv and Eaton continue to describe strong AI compute, networking, power and cooling demand. [INFERENCE] Price leadership can therefore migrate away from hardware before the earnings cycle turns down.</w:t>
      </w:r>
    </w:p>
    <w:p>
      <w:pPr>
        <w:pStyle w:val="Heading2"/>
        <w:spacing w:after="120" w:line="300"/>
      </w:pPr>
      <w:r>
        <w:rPr>
          <w:rFonts w:ascii="Aptos" w:cs="Aptos" w:eastAsia="Aptos" w:hAnsi="Aptos"/>
          <w:b w:val="false"/>
          <w:bCs w:val="false"/>
          <w:i w:val="false"/>
          <w:iCs w:val="false"/>
          <w:sz w:val="20"/>
          <w:szCs w:val="20"/>
        </w:rPr>
        <w:t xml:space="preserve">3. Core versus Expanded universe</w:t>
      </w:r>
    </w:p>
    <w:p>
      <w:pPr>
        <w:spacing w:after="120" w:line="300"/>
      </w:pPr>
      <w:r>
        <w:rPr>
          <w:rFonts w:ascii="Aptos" w:cs="Aptos" w:eastAsia="Aptos" w:hAnsi="Aptos"/>
          <w:b w:val="false"/>
          <w:bCs w:val="false"/>
          <w:i w:val="false"/>
          <w:iCs w:val="false"/>
          <w:sz w:val="20"/>
          <w:szCs w:val="20"/>
        </w:rPr>
        <w:t xml:space="preserve">The Expanded AI Software basket returned +8.5% in one month with +81.8% positive breadth and +10.2% over three months. That is stronger and broader than the Core-only message, which supports genuine application-layer participation rather than a move confined to one flagship name.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83B6B" w:val="clear"/>
            <w:tcMar>
              <w:top w:type="dxa" w:w="90"/>
              <w:left w:type="dxa" w:w="100"/>
              <w:bottom w:type="dxa" w:w="90"/>
              <w:right w:type="dxa" w:w="100"/>
            </w:tcMar>
          </w:tcPr>
          <w:p>
            <w:pPr>
              <w:spacing w:after="0" w:line="300"/>
              <w:jc w:val="center"/>
            </w:pPr>
            <w:r>
              <w:rPr>
                <w:rFonts w:ascii="Aptos" w:cs="Aptos" w:eastAsia="Aptos" w:hAnsi="Aptos"/>
                <w:b/>
                <w:bCs/>
                <w:i w:val="false"/>
                <w:iCs w:val="false"/>
                <w:color w:val="FFFFFF"/>
                <w:sz w:val="18"/>
                <w:szCs w:val="18"/>
              </w:rPr>
              <w:t xml:space="preserve">Expanded stage</w:t>
            </w:r>
          </w:p>
        </w:tc>
        <w:tc>
          <w:tcPr>
            <w:shd w:fill="183B6B" w:val="clear"/>
            <w:tcMar>
              <w:top w:type="dxa" w:w="90"/>
              <w:left w:type="dxa" w:w="100"/>
              <w:bottom w:type="dxa" w:w="90"/>
              <w:right w:type="dxa" w:w="100"/>
            </w:tcMar>
          </w:tcPr>
          <w:p>
            <w:pPr>
              <w:spacing w:after="0" w:line="300"/>
              <w:jc w:val="center"/>
            </w:pPr>
            <w:r>
              <w:rPr>
                <w:rFonts w:ascii="Aptos" w:cs="Aptos" w:eastAsia="Aptos" w:hAnsi="Aptos"/>
                <w:b/>
                <w:bCs/>
                <w:i w:val="false"/>
                <w:iCs w:val="false"/>
                <w:color w:val="FFFFFF"/>
                <w:sz w:val="18"/>
                <w:szCs w:val="18"/>
              </w:rPr>
              <w:t xml:space="preserve">Names</w:t>
            </w:r>
          </w:p>
        </w:tc>
        <w:tc>
          <w:tcPr>
            <w:shd w:fill="183B6B" w:val="clear"/>
            <w:tcMar>
              <w:top w:type="dxa" w:w="90"/>
              <w:left w:type="dxa" w:w="100"/>
              <w:bottom w:type="dxa" w:w="90"/>
              <w:right w:type="dxa" w:w="100"/>
            </w:tcMar>
          </w:tcPr>
          <w:p>
            <w:pPr>
              <w:spacing w:after="0" w:line="300"/>
              <w:jc w:val="center"/>
            </w:pPr>
            <w:r>
              <w:rPr>
                <w:rFonts w:ascii="Aptos" w:cs="Aptos" w:eastAsia="Aptos" w:hAnsi="Aptos"/>
                <w:b/>
                <w:bCs/>
                <w:i w:val="false"/>
                <w:iCs w:val="false"/>
                <w:color w:val="FFFFFF"/>
                <w:sz w:val="18"/>
                <w:szCs w:val="18"/>
              </w:rPr>
              <w:t xml:space="preserve">1M</w:t>
            </w:r>
          </w:p>
        </w:tc>
        <w:tc>
          <w:tcPr>
            <w:shd w:fill="183B6B" w:val="clear"/>
            <w:tcMar>
              <w:top w:type="dxa" w:w="90"/>
              <w:left w:type="dxa" w:w="100"/>
              <w:bottom w:type="dxa" w:w="90"/>
              <w:right w:type="dxa" w:w="100"/>
            </w:tcMar>
          </w:tcPr>
          <w:p>
            <w:pPr>
              <w:spacing w:after="0" w:line="300"/>
              <w:jc w:val="center"/>
            </w:pPr>
            <w:r>
              <w:rPr>
                <w:rFonts w:ascii="Aptos" w:cs="Aptos" w:eastAsia="Aptos" w:hAnsi="Aptos"/>
                <w:b/>
                <w:bCs/>
                <w:i w:val="false"/>
                <w:iCs w:val="false"/>
                <w:color w:val="FFFFFF"/>
                <w:sz w:val="18"/>
                <w:szCs w:val="18"/>
              </w:rPr>
              <w:t xml:space="preserve">1M breadth</w:t>
            </w:r>
          </w:p>
        </w:tc>
        <w:tc>
          <w:tcPr>
            <w:shd w:fill="183B6B" w:val="clear"/>
            <w:tcMar>
              <w:top w:type="dxa" w:w="90"/>
              <w:left w:type="dxa" w:w="100"/>
              <w:bottom w:type="dxa" w:w="90"/>
              <w:right w:type="dxa" w:w="100"/>
            </w:tcMar>
          </w:tcPr>
          <w:p>
            <w:pPr>
              <w:spacing w:after="0" w:line="300"/>
              <w:jc w:val="center"/>
            </w:pPr>
            <w:r>
              <w:rPr>
                <w:rFonts w:ascii="Aptos" w:cs="Aptos" w:eastAsia="Aptos" w:hAnsi="Aptos"/>
                <w:b/>
                <w:bCs/>
                <w:i w:val="false"/>
                <w:iCs w:val="false"/>
                <w:color w:val="FFFFFF"/>
                <w:sz w:val="18"/>
                <w:szCs w:val="18"/>
              </w:rPr>
              <w:t xml:space="preserve">3M</w:t>
            </w:r>
          </w:p>
        </w:tc>
      </w:tr>
      <w:tr>
        <w:tc>
          <w:tcPr>
            <w:shd w:fill="F3F5F8"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AI Software</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11</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+8.5%</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+81.8%</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15803D"/>
                <w:sz w:val="18"/>
                <w:szCs w:val="18"/>
              </w:rPr>
              <w:t xml:space="preserve">+10.2%</w:t>
            </w:r>
          </w:p>
        </w:tc>
      </w:tr>
      <w:tr>
        <w:tc>
          <w:tcPr>
            <w:shd w:fill="FFFFFF"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Edge / Physical AI</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8</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-1.0%</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+37.5%</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-15.0%</w:t>
            </w:r>
          </w:p>
        </w:tc>
      </w:tr>
      <w:tr>
        <w:tc>
          <w:tcPr>
            <w:shd w:fill="F3F5F8"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Cloud / Platforms</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6</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-2.3%</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+33.3%</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-10.6%</w:t>
            </w:r>
          </w:p>
        </w:tc>
      </w:tr>
      <w:tr>
        <w:tc>
          <w:tcPr>
            <w:shd w:fill="FFFFFF"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Systems / Network</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16</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-3.0%</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+25.0%</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-11.6%</w:t>
            </w:r>
          </w:p>
        </w:tc>
      </w:tr>
      <w:tr>
        <w:tc>
          <w:tcPr>
            <w:shd w:fill="F3F5F8"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Compute / Memory</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6</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-3.6%</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+33.3%</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-13.0%</w:t>
            </w:r>
          </w:p>
        </w:tc>
      </w:tr>
      <w:tr>
        <w:tc>
          <w:tcPr>
            <w:shd w:fill="FFFFFF"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Semicap / EDA</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7</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-5.9%</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+14.3%</w:t>
            </w:r>
          </w:p>
        </w:tc>
        <w:tc>
          <w:tcPr>
            <w:shd w:fill="FFFFFF"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-11.7%</w:t>
            </w:r>
          </w:p>
        </w:tc>
      </w:tr>
      <w:tr>
        <w:tc>
          <w:tcPr>
            <w:shd w:fill="F3F5F8" w:val="clear"/>
            <w:tcMar>
              <w:top w:type="dxa" w:w="90"/>
              <w:left w:type="dxa" w:w="100"/>
              <w:bottom w:type="dxa" w:w="90"/>
              <w:right w:type="dxa" w:w="100"/>
            </w:tcMar>
          </w:tcPr>
          <w:p>
            <w:pPr>
              <w:spacing w:after="0" w:line="300"/>
            </w:pPr>
            <w:r>
              <w:rPr>
                <w:rFonts w:ascii="Aptos" w:cs="Aptos" w:eastAsia="Aptos" w:hAnsi="Aptos"/>
                <w:b/>
                <w:bCs/>
                <w:i w:val="false"/>
                <w:iCs w:val="false"/>
                <w:sz w:val="18"/>
                <w:szCs w:val="18"/>
              </w:rPr>
              <w:t xml:space="preserve">Power / Data Center</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16</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-7.3%</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sz w:val="18"/>
                <w:szCs w:val="18"/>
              </w:rPr>
              <w:t xml:space="preserve">+6.3%</w:t>
            </w:r>
          </w:p>
        </w:tc>
        <w:tc>
          <w:tcPr>
            <w:shd w:fill="F3F5F8" w:val="clear"/>
            <w:tcMar>
              <w:top w:type="dxa" w:w="90"/>
              <w:left w:type="dxa" w:w="100"/>
              <w:bottom w:type="dxa" w:w="90"/>
              <w:right w:type="dxa" w:w="100"/>
            </w:tcMar>
          </w:tcPr>
          <w:p>
            <w:pPr>
              <w:spacing w:after="0" w:line="300"/>
              <w:jc w:val="right"/>
            </w:pPr>
            <w:r>
              <w:rPr>
                <w:rFonts w:ascii="Aptos" w:cs="Aptos" w:eastAsia="Aptos" w:hAnsi="Aptos"/>
                <w:b w:val="false"/>
                <w:bCs w:val="false"/>
                <w:i w:val="false"/>
                <w:iCs w:val="false"/>
                <w:color w:val="C62828"/>
                <w:sz w:val="18"/>
                <w:szCs w:val="18"/>
              </w:rPr>
              <w:t xml:space="preserve">-8.0%</w:t>
            </w:r>
          </w:p>
        </w:tc>
      </w:tr>
    </w:tbl>
    <w:p>
      <w:pPr>
        <w:pStyle w:val="Heading1"/>
        <w:pageBreakBefore/>
        <w:spacing w:after="120" w:line="300"/>
      </w:pPr>
      <w:r>
        <w:rPr>
          <w:rFonts w:ascii="Aptos" w:cs="Aptos" w:eastAsia="Aptos" w:hAnsi="Aptos"/>
          <w:b w:val="false"/>
          <w:bCs w:val="false"/>
          <w:i w:val="false"/>
          <w:iCs w:val="false"/>
          <w:sz w:val="20"/>
          <w:szCs w:val="20"/>
        </w:rPr>
        <w:t xml:space="preserve">Portfolio Implications</w:t>
      </w:r>
    </w:p>
    <w:p>
      <w:pPr>
        <w:pStyle w:val="ListParagraph"/>
        <w:numPr>
          <w:ilvl w:val="0"/>
          <w:numId w:val="1"/>
        </w:numPr>
        <w:spacing w:after="90" w:line="290"/>
      </w:pPr>
      <w:r>
        <w:rPr>
          <w:rFonts w:ascii="Aptos" w:cs="Aptos" w:eastAsia="Aptos" w:hAnsi="Aptos"/>
          <w:b/>
          <w:bCs/>
          <w:i w:val="false"/>
          <w:iCs w:val="false"/>
          <w:color w:val="183B6B"/>
          <w:sz w:val="20"/>
          <w:szCs w:val="20"/>
        </w:rPr>
        <w:t xml:space="preserve">Tactical: </w:t>
      </w:r>
      <w:r>
        <w:rPr>
          <w:rFonts w:ascii="Aptos" w:cs="Aptos" w:eastAsia="Aptos" w:hAnsi="Aptos"/>
          <w:b w:val="false"/>
          <w:bCs w:val="false"/>
          <w:i w:val="false"/>
          <w:iCs w:val="false"/>
          <w:sz w:val="20"/>
          <w:szCs w:val="20"/>
        </w:rPr>
        <w:t xml:space="preserve">Do not describe the latest move as broad AI capitulation. The cleanest observation is long application-layer relative strength versus short crowded infrastructure leaders over the latest one to three months.</w:t>
      </w:r>
    </w:p>
    <w:p>
      <w:pPr>
        <w:pStyle w:val="ListParagraph"/>
        <w:numPr>
          <w:ilvl w:val="0"/>
          <w:numId w:val="1"/>
        </w:numPr>
        <w:spacing w:after="90" w:line="290"/>
      </w:pPr>
      <w:r>
        <w:rPr>
          <w:rFonts w:ascii="Aptos" w:cs="Aptos" w:eastAsia="Aptos" w:hAnsi="Aptos"/>
          <w:b/>
          <w:bCs/>
          <w:i w:val="false"/>
          <w:iCs w:val="false"/>
          <w:color w:val="183B6B"/>
          <w:sz w:val="20"/>
          <w:szCs w:val="20"/>
        </w:rPr>
        <w:t xml:space="preserve">Confirmation: </w:t>
      </w:r>
      <w:r>
        <w:rPr>
          <w:rFonts w:ascii="Aptos" w:cs="Aptos" w:eastAsia="Aptos" w:hAnsi="Aptos"/>
          <w:b w:val="false"/>
          <w:bCs w:val="false"/>
          <w:i w:val="false"/>
          <w:iCs w:val="false"/>
          <w:sz w:val="20"/>
          <w:szCs w:val="20"/>
        </w:rPr>
        <w:t xml:space="preserve">Track FY1/FY2 EPS revisions, order/backlog growth and earnings breadth by value-chain stage. Software price leadership without improving revisions is vulnerable to reversal.</w:t>
      </w:r>
    </w:p>
    <w:p>
      <w:pPr>
        <w:pStyle w:val="ListParagraph"/>
        <w:numPr>
          <w:ilvl w:val="0"/>
          <w:numId w:val="1"/>
        </w:numPr>
        <w:spacing w:after="90" w:line="290"/>
      </w:pPr>
      <w:r>
        <w:rPr>
          <w:rFonts w:ascii="Aptos" w:cs="Aptos" w:eastAsia="Aptos" w:hAnsi="Aptos"/>
          <w:b/>
          <w:bCs/>
          <w:i w:val="false"/>
          <w:iCs w:val="false"/>
          <w:color w:val="183B6B"/>
          <w:sz w:val="20"/>
          <w:szCs w:val="20"/>
        </w:rPr>
        <w:t xml:space="preserve">Risk control: </w:t>
      </w:r>
      <w:r>
        <w:rPr>
          <w:rFonts w:ascii="Aptos" w:cs="Aptos" w:eastAsia="Aptos" w:hAnsi="Aptos"/>
          <w:b w:val="false"/>
          <w:bCs w:val="false"/>
          <w:i w:val="false"/>
          <w:iCs w:val="false"/>
          <w:sz w:val="20"/>
          <w:szCs w:val="20"/>
        </w:rPr>
        <w:t xml:space="preserve">Use Core and Expanded baskets together. Core shows purer theme beta; Expanded breadth reveals whether the move has spread to adjacent beneficiaries.</w:t>
      </w:r>
    </w:p>
    <w:p>
      <w:pPr>
        <w:pStyle w:val="ListParagraph"/>
        <w:numPr>
          <w:ilvl w:val="0"/>
          <w:numId w:val="1"/>
        </w:numPr>
        <w:spacing w:after="90" w:line="290"/>
      </w:pPr>
      <w:r>
        <w:rPr>
          <w:rFonts w:ascii="Aptos" w:cs="Aptos" w:eastAsia="Aptos" w:hAnsi="Aptos"/>
          <w:b/>
          <w:bCs/>
          <w:i w:val="false"/>
          <w:iCs w:val="false"/>
          <w:color w:val="183B6B"/>
          <w:sz w:val="20"/>
          <w:szCs w:val="20"/>
        </w:rPr>
        <w:t xml:space="preserve">Implementation: </w:t>
      </w:r>
      <w:r>
        <w:rPr>
          <w:rFonts w:ascii="Aptos" w:cs="Aptos" w:eastAsia="Aptos" w:hAnsi="Aptos"/>
          <w:b w:val="false"/>
          <w:bCs w:val="false"/>
          <w:i w:val="false"/>
          <w:iCs w:val="false"/>
          <w:sz w:val="20"/>
          <w:szCs w:val="20"/>
        </w:rPr>
        <w:t xml:space="preserve">Equal weighting is useful for diagnosing breadth but is not the same as investable capital weighting. Any trade should be stress-tested under market-cap, risk-parity and beta-neutral weights.</w:t>
      </w:r>
    </w:p>
    <w:p>
      <w:pPr>
        <w:pStyle w:val="Heading1"/>
        <w:spacing w:after="120" w:line="300"/>
      </w:pPr>
      <w:r>
        <w:rPr>
          <w:rFonts w:ascii="Aptos" w:cs="Aptos" w:eastAsia="Aptos" w:hAnsi="Aptos"/>
          <w:b w:val="false"/>
          <w:bCs w:val="false"/>
          <w:i w:val="false"/>
          <w:iCs w:val="false"/>
          <w:sz w:val="20"/>
          <w:szCs w:val="20"/>
        </w:rPr>
        <w:t xml:space="preserve">Risks and Limitations</w:t>
      </w:r>
    </w:p>
    <w:p>
      <w:pPr>
        <w:pStyle w:val="ListParagraph"/>
        <w:numPr>
          <w:ilvl w:val="0"/>
          <w:numId w:val="1"/>
        </w:numPr>
        <w:spacing w:after="90" w:line="290"/>
      </w:pPr>
      <w:r>
        <w:rPr>
          <w:rFonts w:ascii="Aptos" w:cs="Aptos" w:eastAsia="Aptos" w:hAnsi="Aptos"/>
          <w:b w:val="false"/>
          <w:bCs w:val="false"/>
          <w:i w:val="false"/>
          <w:iCs w:val="false"/>
          <w:sz w:val="20"/>
          <w:szCs w:val="20"/>
        </w:rPr>
        <w:t xml:space="preserve">[RISK] Current S&amp;P 500 membership is carried backward. The history therefore contains survivorship and index-reconstitution bias.</w:t>
      </w:r>
    </w:p>
    <w:p>
      <w:pPr>
        <w:pStyle w:val="ListParagraph"/>
        <w:numPr>
          <w:ilvl w:val="0"/>
          <w:numId w:val="1"/>
        </w:numPr>
        <w:spacing w:after="90" w:line="290"/>
      </w:pPr>
      <w:r>
        <w:rPr>
          <w:rFonts w:ascii="Aptos" w:cs="Aptos" w:eastAsia="Aptos" w:hAnsi="Aptos"/>
          <w:b w:val="false"/>
          <w:bCs w:val="false"/>
          <w:i w:val="false"/>
          <w:iCs w:val="false"/>
          <w:sz w:val="20"/>
          <w:szCs w:val="20"/>
        </w:rPr>
        <w:t xml:space="preserve">[RISK] The source is the Bloomberg Price field from the user's raw constituent workbook. Returns exclude dividends; corporate-action adjustment settings should be independently audited before trading use.</w:t>
      </w:r>
    </w:p>
    <w:p>
      <w:pPr>
        <w:pStyle w:val="ListParagraph"/>
        <w:numPr>
          <w:ilvl w:val="0"/>
          <w:numId w:val="1"/>
        </w:numPr>
        <w:spacing w:after="90" w:line="290"/>
      </w:pPr>
      <w:r>
        <w:rPr>
          <w:rFonts w:ascii="Aptos" w:cs="Aptos" w:eastAsia="Aptos" w:hAnsi="Aptos"/>
          <w:b w:val="false"/>
          <w:bCs w:val="false"/>
          <w:i w:val="false"/>
          <w:iCs w:val="false"/>
          <w:sz w:val="20"/>
          <w:szCs w:val="20"/>
        </w:rPr>
        <w:t xml:space="preserve">[RISK] Daily equal weighting gives a small beneficiary the same return weight as a mega-cap platform. It is intentionally a breadth monitor, not an estimate of S&amp;P 500 contribution.</w:t>
      </w:r>
    </w:p>
    <w:p>
      <w:pPr>
        <w:pStyle w:val="ListParagraph"/>
        <w:numPr>
          <w:ilvl w:val="0"/>
          <w:numId w:val="1"/>
        </w:numPr>
        <w:spacing w:after="90" w:line="290"/>
      </w:pPr>
      <w:r>
        <w:rPr>
          <w:rFonts w:ascii="Aptos" w:cs="Aptos" w:eastAsia="Aptos" w:hAnsi="Aptos"/>
          <w:b w:val="false"/>
          <w:bCs w:val="false"/>
          <w:i w:val="false"/>
          <w:iCs w:val="false"/>
          <w:sz w:val="20"/>
          <w:szCs w:val="20"/>
        </w:rPr>
        <w:t xml:space="preserve">[RISK] Value-chain membership is a research taxonomy. Core versus Adjacent is a judgement about economic exposure, not a Bloomberg or S&amp;P industry classification.</w:t>
      </w:r>
    </w:p>
    <w:p>
      <w:pPr>
        <w:pStyle w:val="ListParagraph"/>
        <w:numPr>
          <w:ilvl w:val="0"/>
          <w:numId w:val="1"/>
        </w:numPr>
        <w:spacing w:after="90" w:line="290"/>
      </w:pPr>
      <w:r>
        <w:rPr>
          <w:rFonts w:ascii="Aptos" w:cs="Aptos" w:eastAsia="Aptos" w:hAnsi="Aptos"/>
          <w:b w:val="false"/>
          <w:bCs w:val="false"/>
          <w:i w:val="false"/>
          <w:iCs w:val="false"/>
          <w:sz w:val="20"/>
          <w:szCs w:val="20"/>
        </w:rPr>
        <w:t xml:space="preserve">[RISK] Several six-month constituent returns are extreme. Median return, breadth and capped-return versions should be reviewed alongside the headline average.</w:t>
      </w:r>
    </w:p>
    <w:p>
      <w:pPr>
        <w:pStyle w:val="Heading1"/>
        <w:spacing w:after="120" w:line="300"/>
      </w:pPr>
      <w:r>
        <w:rPr>
          <w:rFonts w:ascii="Aptos" w:cs="Aptos" w:eastAsia="Aptos" w:hAnsi="Aptos"/>
          <w:b w:val="false"/>
          <w:bCs w:val="false"/>
          <w:i w:val="false"/>
          <w:iCs w:val="false"/>
          <w:sz w:val="20"/>
          <w:szCs w:val="20"/>
        </w:rPr>
        <w:t xml:space="preserve">Open Questions</w:t>
      </w:r>
    </w:p>
    <w:p>
      <w:pPr>
        <w:pStyle w:val="ListParagraph"/>
        <w:numPr>
          <w:ilvl w:val="0"/>
          <w:numId w:val="1"/>
        </w:numPr>
        <w:spacing w:after="90" w:line="290"/>
      </w:pPr>
      <w:r>
        <w:rPr>
          <w:rFonts w:ascii="Aptos" w:cs="Aptos" w:eastAsia="Aptos" w:hAnsi="Aptos"/>
          <w:b w:val="false"/>
          <w:bCs w:val="false"/>
          <w:i w:val="false"/>
          <w:iCs w:val="false"/>
          <w:sz w:val="20"/>
          <w:szCs w:val="20"/>
        </w:rPr>
        <w:t xml:space="preserve">Do FY1/FY2 EPS revision breadth and earnings contribution confirm the one-month software rotation?</w:t>
      </w:r>
    </w:p>
    <w:p>
      <w:pPr>
        <w:pStyle w:val="ListParagraph"/>
        <w:numPr>
          <w:ilvl w:val="0"/>
          <w:numId w:val="1"/>
        </w:numPr>
        <w:spacing w:after="90" w:line="290"/>
      </w:pPr>
      <w:r>
        <w:rPr>
          <w:rFonts w:ascii="Aptos" w:cs="Aptos" w:eastAsia="Aptos" w:hAnsi="Aptos"/>
          <w:b w:val="false"/>
          <w:bCs w:val="false"/>
          <w:i w:val="false"/>
          <w:iCs w:val="false"/>
          <w:sz w:val="20"/>
          <w:szCs w:val="20"/>
        </w:rPr>
        <w:t xml:space="preserve">Is the hardware correction driven by multiple compression, estimate cuts, or both?</w:t>
      </w:r>
    </w:p>
    <w:p>
      <w:pPr>
        <w:pStyle w:val="ListParagraph"/>
        <w:numPr>
          <w:ilvl w:val="0"/>
          <w:numId w:val="1"/>
        </w:numPr>
        <w:spacing w:after="90" w:line="290"/>
      </w:pPr>
      <w:r>
        <w:rPr>
          <w:rFonts w:ascii="Aptos" w:cs="Aptos" w:eastAsia="Aptos" w:hAnsi="Aptos"/>
          <w:b w:val="false"/>
          <w:bCs w:val="false"/>
          <w:i w:val="false"/>
          <w:iCs w:val="false"/>
          <w:sz w:val="20"/>
          <w:szCs w:val="20"/>
        </w:rPr>
        <w:t xml:space="preserve">Would beta-neutral or sector-neutral value-chain portfolios show the same ranking?</w:t>
      </w:r>
    </w:p>
    <w:p>
      <w:pPr>
        <w:pStyle w:val="ListParagraph"/>
        <w:numPr>
          <w:ilvl w:val="0"/>
          <w:numId w:val="1"/>
        </w:numPr>
        <w:spacing w:after="90" w:line="290"/>
      </w:pPr>
      <w:r>
        <w:rPr>
          <w:rFonts w:ascii="Aptos" w:cs="Aptos" w:eastAsia="Aptos" w:hAnsi="Aptos"/>
          <w:b w:val="false"/>
          <w:bCs w:val="false"/>
          <w:i w:val="false"/>
          <w:iCs w:val="false"/>
          <w:sz w:val="20"/>
          <w:szCs w:val="20"/>
        </w:rPr>
        <w:t xml:space="preserve">How much of the power/data-center basket is a direct AI demand signal versus rates, power prices and utility regulation?</w:t>
      </w:r>
    </w:p>
    <w:p>
      <w:pPr>
        <w:pStyle w:val="ListParagraph"/>
        <w:numPr>
          <w:ilvl w:val="0"/>
          <w:numId w:val="1"/>
        </w:numPr>
        <w:spacing w:after="90" w:line="290"/>
      </w:pPr>
      <w:r>
        <w:rPr>
          <w:rFonts w:ascii="Aptos" w:cs="Aptos" w:eastAsia="Aptos" w:hAnsi="Aptos"/>
          <w:b w:val="false"/>
          <w:bCs w:val="false"/>
          <w:i w:val="false"/>
          <w:iCs w:val="false"/>
          <w:sz w:val="20"/>
          <w:szCs w:val="20"/>
        </w:rPr>
        <w:t xml:space="preserve">Does the application-layer strength persist after the next earnings season and beyond a four-week window?</w:t>
      </w:r>
    </w:p>
    <w:p>
      <w:pPr>
        <w:pStyle w:val="Heading1"/>
        <w:pageBreakBefore/>
        <w:spacing w:after="120" w:line="300"/>
      </w:pPr>
      <w:r>
        <w:rPr>
          <w:rFonts w:ascii="Aptos" w:cs="Aptos" w:eastAsia="Aptos" w:hAnsi="Aptos"/>
          <w:b w:val="false"/>
          <w:bCs w:val="false"/>
          <w:i w:val="false"/>
          <w:iCs w:val="false"/>
          <w:sz w:val="20"/>
          <w:szCs w:val="20"/>
        </w:rPr>
        <w:t xml:space="preserve">Sources</w:t>
      </w:r>
    </w:p>
    <w:p>
      <w:pPr>
        <w:pStyle w:val="Heading2"/>
        <w:spacing w:after="120" w:line="300"/>
      </w:pPr>
      <w:r>
        <w:rPr>
          <w:rFonts w:ascii="Aptos" w:cs="Aptos" w:eastAsia="Aptos" w:hAnsi="Aptos"/>
          <w:b w:val="false"/>
          <w:bCs w:val="false"/>
          <w:i w:val="false"/>
          <w:iCs w:val="false"/>
          <w:sz w:val="20"/>
          <w:szCs w:val="20"/>
        </w:rPr>
        <w:t xml:space="preserve">Market data</w:t>
      </w:r>
    </w:p>
    <w:p>
      <w:pPr>
        <w:spacing w:after="120" w:line="300"/>
      </w:pPr>
      <w:r>
        <w:rPr>
          <w:rFonts w:ascii="Aptos" w:cs="Aptos" w:eastAsia="Aptos" w:hAnsi="Aptos"/>
          <w:b w:val="false"/>
          <w:bCs w:val="false"/>
          <w:i w:val="false"/>
          <w:iCs w:val="false"/>
          <w:sz w:val="20"/>
          <w:szCs w:val="20"/>
        </w:rPr>
        <w:t xml:space="preserve">User-supplied Bloomberg raw workbook merged with the prior panel. Current panel: 2025-06-01 to 2026-09-01; 503 S&amp;P 500 securities. Dashboard methodology and constituent list are embedded in the accompanying HTML.</w:t>
      </w:r>
    </w:p>
    <w:p>
      <w:pPr>
        <w:pStyle w:val="Heading2"/>
        <w:spacing w:after="120" w:line="300"/>
      </w:pPr>
      <w:r>
        <w:rPr>
          <w:rFonts w:ascii="Aptos" w:cs="Aptos" w:eastAsia="Aptos" w:hAnsi="Aptos"/>
          <w:b w:val="false"/>
          <w:bCs w:val="false"/>
          <w:i w:val="false"/>
          <w:iCs w:val="false"/>
          <w:sz w:val="20"/>
          <w:szCs w:val="20"/>
        </w:rPr>
        <w:t xml:space="preserve">External research and primary disclosures</w:t>
      </w:r>
    </w:p>
    <w:p>
      <w:pPr>
        <w:spacing w:after="100" w:line="280"/>
      </w:pPr>
      <w:hyperlink w:history="1" r:id="rId2untprpxzhegfaran01ty">
        <w:r>
          <w:rPr>
            <w:rFonts w:ascii="Aptos" w:cs="Aptos" w:eastAsia="Aptos" w:hAnsi="Aptos"/>
            <w:b/>
            <w:bCs/>
            <w:i w:val="false"/>
            <w:iCs w:val="false"/>
            <w:color w:val="2563EB"/>
            <w:sz w:val="20"/>
            <w:szCs w:val="20"/>
          </w:rPr>
          <w:t xml:space="preserve">IEA — Energy and AI</w:t>
        </w:r>
      </w:hyperlink>
      <w:r>
        <w:rPr>
          <w:rFonts w:ascii="Aptos" w:cs="Aptos" w:eastAsia="Aptos" w:hAnsi="Aptos"/>
          <w:b w:val="false"/>
          <w:bCs w:val="false"/>
          <w:i w:val="false"/>
          <w:iCs w:val="false"/>
          <w:color w:val="6B7280"/>
          <w:sz w:val="20"/>
          <w:szCs w:val="20"/>
        </w:rPr>
        <w:t xml:space="preserve"> — Power demand and data-center electricity framework.</w:t>
      </w:r>
    </w:p>
    <w:p>
      <w:pPr>
        <w:spacing w:after="100" w:line="280"/>
      </w:pPr>
      <w:hyperlink w:history="1" r:id="rIdhtvwlpom1j0qpuly6yxqy">
        <w:r>
          <w:rPr>
            <w:rFonts w:ascii="Aptos" w:cs="Aptos" w:eastAsia="Aptos" w:hAnsi="Aptos"/>
            <w:b/>
            <w:bCs/>
            <w:i w:val="false"/>
            <w:iCs w:val="false"/>
            <w:color w:val="2563EB"/>
            <w:sz w:val="20"/>
            <w:szCs w:val="20"/>
          </w:rPr>
          <w:t xml:space="preserve">IEA — 2026 data-centre electricity update</w:t>
        </w:r>
      </w:hyperlink>
      <w:r>
        <w:rPr>
          <w:rFonts w:ascii="Aptos" w:cs="Aptos" w:eastAsia="Aptos" w:hAnsi="Aptos"/>
          <w:b w:val="false"/>
          <w:bCs w:val="false"/>
          <w:i w:val="false"/>
          <w:iCs w:val="false"/>
          <w:color w:val="6B7280"/>
          <w:sz w:val="20"/>
          <w:szCs w:val="20"/>
        </w:rPr>
        <w:t xml:space="preserve"> — 2025 demand acceleration and infrastructure bottlenecks.</w:t>
      </w:r>
    </w:p>
    <w:p>
      <w:pPr>
        <w:spacing w:after="100" w:line="280"/>
      </w:pPr>
      <w:hyperlink w:history="1" r:id="rIdtqnqlglfnfdhaggrqmh6l">
        <w:r>
          <w:rPr>
            <w:rFonts w:ascii="Aptos" w:cs="Aptos" w:eastAsia="Aptos" w:hAnsi="Aptos"/>
            <w:b/>
            <w:bCs/>
            <w:i w:val="false"/>
            <w:iCs w:val="false"/>
            <w:color w:val="2563EB"/>
            <w:sz w:val="20"/>
            <w:szCs w:val="20"/>
          </w:rPr>
          <w:t xml:space="preserve">McKinsey — infrastructure that powers and cools AI data centers</w:t>
        </w:r>
      </w:hyperlink>
      <w:r>
        <w:rPr>
          <w:rFonts w:ascii="Aptos" w:cs="Aptos" w:eastAsia="Aptos" w:hAnsi="Aptos"/>
          <w:b w:val="false"/>
          <w:bCs w:val="false"/>
          <w:i w:val="false"/>
          <w:iCs w:val="false"/>
          <w:color w:val="6B7280"/>
          <w:sz w:val="20"/>
          <w:szCs w:val="20"/>
        </w:rPr>
        <w:t xml:space="preserve"> — Power, cooling and physical-infrastructure taxonomy.</w:t>
      </w:r>
    </w:p>
    <w:p>
      <w:pPr>
        <w:spacing w:after="100" w:line="280"/>
      </w:pPr>
      <w:hyperlink w:history="1" r:id="rIdb4ycyo90uetymnksnfwhd">
        <w:r>
          <w:rPr>
            <w:rFonts w:ascii="Aptos" w:cs="Aptos" w:eastAsia="Aptos" w:hAnsi="Aptos"/>
            <w:b/>
            <w:bCs/>
            <w:i w:val="false"/>
            <w:iCs w:val="false"/>
            <w:color w:val="2563EB"/>
            <w:sz w:val="20"/>
            <w:szCs w:val="20"/>
          </w:rPr>
          <w:t xml:space="preserve">McKinsey — AI hardware opportunities</w:t>
        </w:r>
      </w:hyperlink>
      <w:r>
        <w:rPr>
          <w:rFonts w:ascii="Aptos" w:cs="Aptos" w:eastAsia="Aptos" w:hAnsi="Aptos"/>
          <w:b w:val="false"/>
          <w:bCs w:val="false"/>
          <w:i w:val="false"/>
          <w:iCs w:val="false"/>
          <w:color w:val="6B7280"/>
          <w:sz w:val="20"/>
          <w:szCs w:val="20"/>
        </w:rPr>
        <w:t xml:space="preserve"> — Compute, memory, networking and storage stack.</w:t>
      </w:r>
    </w:p>
    <w:p>
      <w:pPr>
        <w:spacing w:after="100" w:line="280"/>
      </w:pPr>
      <w:hyperlink w:history="1" r:id="rIdqofhow-ntgkw8sxclim22">
        <w:r>
          <w:rPr>
            <w:rFonts w:ascii="Aptos" w:cs="Aptos" w:eastAsia="Aptos" w:hAnsi="Aptos"/>
            <w:b/>
            <w:bCs/>
            <w:i w:val="false"/>
            <w:iCs w:val="false"/>
            <w:color w:val="2563EB"/>
            <w:sz w:val="20"/>
            <w:szCs w:val="20"/>
          </w:rPr>
          <w:t xml:space="preserve">NVIDIA FY2026 results</w:t>
        </w:r>
      </w:hyperlink>
      <w:r>
        <w:rPr>
          <w:rFonts w:ascii="Aptos" w:cs="Aptos" w:eastAsia="Aptos" w:hAnsi="Aptos"/>
          <w:b w:val="false"/>
          <w:bCs w:val="false"/>
          <w:i w:val="false"/>
          <w:iCs w:val="false"/>
          <w:color w:val="6B7280"/>
          <w:sz w:val="20"/>
          <w:szCs w:val="20"/>
        </w:rPr>
        <w:t xml:space="preserve"> — Accelerated-computing demand and data-center revenue.</w:t>
      </w:r>
    </w:p>
    <w:p>
      <w:pPr>
        <w:spacing w:after="100" w:line="280"/>
      </w:pPr>
      <w:hyperlink w:history="1" r:id="rIduke38xfdbbmsirkoumz_q">
        <w:r>
          <w:rPr>
            <w:rFonts w:ascii="Aptos" w:cs="Aptos" w:eastAsia="Aptos" w:hAnsi="Aptos"/>
            <w:b/>
            <w:bCs/>
            <w:i w:val="false"/>
            <w:iCs w:val="false"/>
            <w:color w:val="2563EB"/>
            <w:sz w:val="20"/>
            <w:szCs w:val="20"/>
          </w:rPr>
          <w:t xml:space="preserve">AMD 2025 Form 10-K</w:t>
        </w:r>
      </w:hyperlink>
      <w:r>
        <w:rPr>
          <w:rFonts w:ascii="Aptos" w:cs="Aptos" w:eastAsia="Aptos" w:hAnsi="Aptos"/>
          <w:b w:val="false"/>
          <w:bCs w:val="false"/>
          <w:i w:val="false"/>
          <w:iCs w:val="false"/>
          <w:color w:val="6B7280"/>
          <w:sz w:val="20"/>
          <w:szCs w:val="20"/>
        </w:rPr>
        <w:t xml:space="preserve"> — CPU, GPU and networking data-center exposure.</w:t>
      </w:r>
    </w:p>
    <w:p>
      <w:pPr>
        <w:spacing w:after="100" w:line="280"/>
      </w:pPr>
      <w:hyperlink w:history="1" r:id="rId5jjsy0k57xbceoljcqz_c">
        <w:r>
          <w:rPr>
            <w:rFonts w:ascii="Aptos" w:cs="Aptos" w:eastAsia="Aptos" w:hAnsi="Aptos"/>
            <w:b/>
            <w:bCs/>
            <w:i w:val="false"/>
            <w:iCs w:val="false"/>
            <w:color w:val="2563EB"/>
            <w:sz w:val="20"/>
            <w:szCs w:val="20"/>
          </w:rPr>
          <w:t xml:space="preserve">Broadcom Q2 FY2026 results</w:t>
        </w:r>
      </w:hyperlink>
      <w:r>
        <w:rPr>
          <w:rFonts w:ascii="Aptos" w:cs="Aptos" w:eastAsia="Aptos" w:hAnsi="Aptos"/>
          <w:b w:val="false"/>
          <w:bCs w:val="false"/>
          <w:i w:val="false"/>
          <w:iCs w:val="false"/>
          <w:color w:val="6B7280"/>
          <w:sz w:val="20"/>
          <w:szCs w:val="20"/>
        </w:rPr>
        <w:t xml:space="preserve"> — Custom AI silicon and networking exposure.</w:t>
      </w:r>
    </w:p>
    <w:p>
      <w:pPr>
        <w:spacing w:after="100" w:line="280"/>
      </w:pPr>
      <w:hyperlink w:history="1" r:id="rIdtgxlq6wogsenddw02g7db">
        <w:r>
          <w:rPr>
            <w:rFonts w:ascii="Aptos" w:cs="Aptos" w:eastAsia="Aptos" w:hAnsi="Aptos"/>
            <w:b/>
            <w:bCs/>
            <w:i w:val="false"/>
            <w:iCs w:val="false"/>
            <w:color w:val="2563EB"/>
            <w:sz w:val="20"/>
            <w:szCs w:val="20"/>
          </w:rPr>
          <w:t xml:space="preserve">Arista Q2 2026 results</w:t>
        </w:r>
      </w:hyperlink>
      <w:r>
        <w:rPr>
          <w:rFonts w:ascii="Aptos" w:cs="Aptos" w:eastAsia="Aptos" w:hAnsi="Aptos"/>
          <w:b w:val="false"/>
          <w:bCs w:val="false"/>
          <w:i w:val="false"/>
          <w:iCs w:val="false"/>
          <w:color w:val="6B7280"/>
          <w:sz w:val="20"/>
          <w:szCs w:val="20"/>
        </w:rPr>
        <w:t xml:space="preserve"> — AI networking and Ethernet fabric demand.</w:t>
      </w:r>
    </w:p>
    <w:p>
      <w:pPr>
        <w:spacing w:after="100" w:line="280"/>
      </w:pPr>
      <w:hyperlink w:history="1" r:id="rIdeuav0w-lgyhkzghnb7m2h">
        <w:r>
          <w:rPr>
            <w:rFonts w:ascii="Aptos" w:cs="Aptos" w:eastAsia="Aptos" w:hAnsi="Aptos"/>
            <w:b/>
            <w:bCs/>
            <w:i w:val="false"/>
            <w:iCs w:val="false"/>
            <w:color w:val="2563EB"/>
            <w:sz w:val="20"/>
            <w:szCs w:val="20"/>
          </w:rPr>
          <w:t xml:space="preserve">Vertiv FY2025 results</w:t>
        </w:r>
      </w:hyperlink>
      <w:r>
        <w:rPr>
          <w:rFonts w:ascii="Aptos" w:cs="Aptos" w:eastAsia="Aptos" w:hAnsi="Aptos"/>
          <w:b w:val="false"/>
          <w:bCs w:val="false"/>
          <w:i w:val="false"/>
          <w:iCs w:val="false"/>
          <w:color w:val="6B7280"/>
          <w:sz w:val="20"/>
          <w:szCs w:val="20"/>
        </w:rPr>
        <w:t xml:space="preserve"> — Power and thermal-management demand.</w:t>
      </w:r>
    </w:p>
    <w:p>
      <w:pPr>
        <w:spacing w:after="100" w:line="280"/>
      </w:pPr>
      <w:hyperlink w:history="1" r:id="rIdpouzt-j8v_vzk0h7thuqw">
        <w:r>
          <w:rPr>
            <w:rFonts w:ascii="Aptos" w:cs="Aptos" w:eastAsia="Aptos" w:hAnsi="Aptos"/>
            <w:b/>
            <w:bCs/>
            <w:i w:val="false"/>
            <w:iCs w:val="false"/>
            <w:color w:val="2563EB"/>
            <w:sz w:val="20"/>
            <w:szCs w:val="20"/>
          </w:rPr>
          <w:t xml:space="preserve">Eaton Q1 2026 results</w:t>
        </w:r>
      </w:hyperlink>
      <w:r>
        <w:rPr>
          <w:rFonts w:ascii="Aptos" w:cs="Aptos" w:eastAsia="Aptos" w:hAnsi="Aptos"/>
          <w:b w:val="false"/>
          <w:bCs w:val="false"/>
          <w:i w:val="false"/>
          <w:iCs w:val="false"/>
          <w:color w:val="6B7280"/>
          <w:sz w:val="20"/>
          <w:szCs w:val="20"/>
        </w:rPr>
        <w:t xml:space="preserve"> — Electrical Americas orders and data-center momentum.</w:t>
      </w:r>
    </w:p>
    <w:p>
      <w:pPr>
        <w:spacing w:after="100" w:line="280"/>
      </w:pPr>
      <w:hyperlink w:history="1" r:id="rIdq2fvjthd4hc7ws0dvdwkn">
        <w:r>
          <w:rPr>
            <w:rFonts w:ascii="Aptos" w:cs="Aptos" w:eastAsia="Aptos" w:hAnsi="Aptos"/>
            <w:b/>
            <w:bCs/>
            <w:i w:val="false"/>
            <w:iCs w:val="false"/>
            <w:color w:val="2563EB"/>
            <w:sz w:val="20"/>
            <w:szCs w:val="20"/>
          </w:rPr>
          <w:t xml:space="preserve">Microsoft FY2026 Q4 earnings</w:t>
        </w:r>
      </w:hyperlink>
      <w:r>
        <w:rPr>
          <w:rFonts w:ascii="Aptos" w:cs="Aptos" w:eastAsia="Aptos" w:hAnsi="Aptos"/>
          <w:b w:val="false"/>
          <w:bCs w:val="false"/>
          <w:i w:val="false"/>
          <w:iCs w:val="false"/>
          <w:color w:val="6B7280"/>
          <w:sz w:val="20"/>
          <w:szCs w:val="20"/>
        </w:rPr>
        <w:t xml:space="preserve"> — Azure AI capacity and cloud platform investment.</w:t>
      </w:r>
    </w:p>
    <w:p>
      <w:pPr>
        <w:spacing w:after="100" w:line="280"/>
      </w:pPr>
      <w:hyperlink w:history="1" r:id="rIdwcd0a4juz574e0u1c5fcg">
        <w:r>
          <w:rPr>
            <w:rFonts w:ascii="Aptos" w:cs="Aptos" w:eastAsia="Aptos" w:hAnsi="Aptos"/>
            <w:b/>
            <w:bCs/>
            <w:i w:val="false"/>
            <w:iCs w:val="false"/>
            <w:color w:val="2563EB"/>
            <w:sz w:val="20"/>
            <w:szCs w:val="20"/>
          </w:rPr>
          <w:t xml:space="preserve">Alphabet 2025 Q4 earnings</w:t>
        </w:r>
      </w:hyperlink>
      <w:r>
        <w:rPr>
          <w:rFonts w:ascii="Aptos" w:cs="Aptos" w:eastAsia="Aptos" w:hAnsi="Aptos"/>
          <w:b w:val="false"/>
          <w:bCs w:val="false"/>
          <w:i w:val="false"/>
          <w:iCs w:val="false"/>
          <w:color w:val="6B7280"/>
          <w:sz w:val="20"/>
          <w:szCs w:val="20"/>
        </w:rPr>
        <w:t xml:space="preserve"> — Cloud, AI backlog and capital investment.</w:t>
      </w:r>
    </w:p>
    <w:p>
      <w:pPr>
        <w:spacing w:after="100" w:line="280"/>
      </w:pPr>
      <w:hyperlink w:history="1" r:id="rIdouf9_e8lnaoj2fyybgk6b">
        <w:r>
          <w:rPr>
            <w:rFonts w:ascii="Aptos" w:cs="Aptos" w:eastAsia="Aptos" w:hAnsi="Aptos"/>
            <w:b/>
            <w:bCs/>
            <w:i w:val="false"/>
            <w:iCs w:val="false"/>
            <w:color w:val="2563EB"/>
            <w:sz w:val="20"/>
            <w:szCs w:val="20"/>
          </w:rPr>
          <w:t xml:space="preserve">Amazon Q2 2026 results</w:t>
        </w:r>
      </w:hyperlink>
      <w:r>
        <w:rPr>
          <w:rFonts w:ascii="Aptos" w:cs="Aptos" w:eastAsia="Aptos" w:hAnsi="Aptos"/>
          <w:b w:val="false"/>
          <w:bCs w:val="false"/>
          <w:i w:val="false"/>
          <w:iCs w:val="false"/>
          <w:color w:val="6B7280"/>
          <w:sz w:val="20"/>
          <w:szCs w:val="20"/>
        </w:rPr>
        <w:t xml:space="preserve"> — AWS and custom AI-chip exposure.</w:t>
      </w:r>
    </w:p>
    <w:p>
      <w:pPr>
        <w:spacing w:after="100" w:line="280"/>
      </w:pPr>
      <w:hyperlink w:history="1" r:id="rId4sidc0zyy26sxebryrp9s">
        <w:r>
          <w:rPr>
            <w:rFonts w:ascii="Aptos" w:cs="Aptos" w:eastAsia="Aptos" w:hAnsi="Aptos"/>
            <w:b/>
            <w:bCs/>
            <w:i w:val="false"/>
            <w:iCs w:val="false"/>
            <w:color w:val="2563EB"/>
            <w:sz w:val="20"/>
            <w:szCs w:val="20"/>
          </w:rPr>
          <w:t xml:space="preserve">Meta Q2 2026 Form 10-Q</w:t>
        </w:r>
      </w:hyperlink>
      <w:r>
        <w:rPr>
          <w:rFonts w:ascii="Aptos" w:cs="Aptos" w:eastAsia="Aptos" w:hAnsi="Aptos"/>
          <w:b w:val="false"/>
          <w:bCs w:val="false"/>
          <w:i w:val="false"/>
          <w:iCs w:val="false"/>
          <w:color w:val="6B7280"/>
          <w:sz w:val="20"/>
          <w:szCs w:val="20"/>
        </w:rPr>
        <w:t xml:space="preserve"> — AI infrastructure capital spending.</w:t>
      </w:r>
    </w:p>
    <w:sectPr>
      <w:footerReference w:type="default" r:id="rId7"/>
      <w:pgSz w:w="11906" w:h="16838" w:orient="portrait"/>
      <w:pgMar w:top="90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val="false"/>
        <w:bCs w:val="false"/>
        <w:i w:val="false"/>
        <w:iCs w:val="false"/>
        <w:color w:val="6B7280"/>
        <w:sz w:val="16"/>
        <w:szCs w:val="16"/>
      </w:rPr>
      <w:t xml:space="preserve">S&amp;P 500 AI Value-Chain Rotation · Page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2033"/>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pPr>
    <w:rPr>
      <w:rFonts w:ascii="Aptos Display" w:cs="Aptos Display" w:eastAsia="Aptos Display" w:hAnsi="Aptos Display"/>
      <w:b/>
      <w:bCs/>
      <w:color w:val="183B6B"/>
      <w:sz w:val="28"/>
      <w:szCs w:val="28"/>
    </w:rPr>
  </w:style>
  <w:style w:type="paragraph" w:styleId="Heading2">
    <w:name w:val="Heading 2"/>
    <w:basedOn w:val="Normal"/>
    <w:next w:val="Normal"/>
    <w:qFormat/>
    <w:pPr>
      <w:keepNext/>
      <w:spacing w:after="80" w:before="180"/>
    </w:pPr>
    <w:rPr>
      <w:rFonts w:ascii="Aptos Display" w:cs="Aptos Display" w:eastAsia="Aptos Display" w:hAnsi="Aptos Display"/>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untprpxzhegfaran01ty" Type="http://schemas.openxmlformats.org/officeDocument/2006/relationships/hyperlink" Target="https://www.iea.org/reports/energy-and-ai" TargetMode="External"/><Relationship Id="rIdhtvwlpom1j0qpuly6yxqy" Type="http://schemas.openxmlformats.org/officeDocument/2006/relationships/hyperlink" Target="https://www.iea.org/news/data-centre-electricity-use-surged-in-2025-even-with-tightening-bottlenecks-driving-a-scramble-for-solutions" TargetMode="External"/><Relationship Id="rIdtqnqlglfnfdhaggrqmh6l" Type="http://schemas.openxmlformats.org/officeDocument/2006/relationships/hyperlink" Target="https://www.mckinsey.com/industries/industrials/our-insights/beyond-compute-infrastructure-that-powers-and-cools-ai-data-centers" TargetMode="External"/><Relationship Id="rIdb4ycyo90uetymnksnfwhd" Type="http://schemas.openxmlformats.org/officeDocument/2006/relationships/hyperlink" Target="https://www.mckinsey.com/industries/semiconductors/our-insights/artificial-intelligence-hardware-new-opportunities-for-semiconductor-companies/pl-PL" TargetMode="External"/><Relationship Id="rIdqofhow-ntgkw8sxclim22" Type="http://schemas.openxmlformats.org/officeDocument/2006/relationships/hyperlink" Target="https://investor.nvidia.com/news/press-release-details/2026/NVIDIA-Announces-Financial-Results-for-Fourth-Quarter-and-Fiscal-2026/" TargetMode="External"/><Relationship Id="rIduke38xfdbbmsirkoumz_q" Type="http://schemas.openxmlformats.org/officeDocument/2006/relationships/hyperlink" Target="https://ir.amd.com/financial-information/sec-filings/content/0000002488-26-000018/amd-20251227.htm" TargetMode="External"/><Relationship Id="rId5jjsy0k57xbceoljcqz_c" Type="http://schemas.openxmlformats.org/officeDocument/2006/relationships/hyperlink" Target="https://investors.broadcom.com/news-releases/news-release-details/broadcom-inc-announces-second-quarter-fiscal-year-2026-financial" TargetMode="External"/><Relationship Id="rIdtgxlq6wogsenddw02g7db" Type="http://schemas.openxmlformats.org/officeDocument/2006/relationships/hyperlink" Target="https://investors.arista.com/Communications/Press-Releases-and-Events/Press-Release-Detail/2026/Arista-Networks-Inc--Reports-Second-Quarter-2026-Financial-Results/default.aspx" TargetMode="External"/><Relationship Id="rIdeuav0w-lgyhkzghnb7m2h" Type="http://schemas.openxmlformats.org/officeDocument/2006/relationships/hyperlink" Target="https://investors.vertiv.com/news/news-details/2026/Vertiv-Reports-Strong-Fourth-Quarter-with-Organic-Orders-Growth-of-252-and-Diluted-EPS-Growth-of-200-Adjusted-Diluted-EPS-37/default.aspx" TargetMode="External"/><Relationship Id="rIdpouzt-j8v_vzk0h7thuqw" Type="http://schemas.openxmlformats.org/officeDocument/2006/relationships/hyperlink" Target="https://www.eaton.com/us/en-us/company/news-insights/news-releases/2026/eaton-reports-record-first-quarter-2026-results.html" TargetMode="External"/><Relationship Id="rIdq2fvjthd4hc7ws0dvdwkn" Type="http://schemas.openxmlformats.org/officeDocument/2006/relationships/hyperlink" Target="https://www.microsoft.com/en-us/investor/events/fy-2026/earnings-fy-2026-q4" TargetMode="External"/><Relationship Id="rIdwcd0a4juz574e0u1c5fcg" Type="http://schemas.openxmlformats.org/officeDocument/2006/relationships/hyperlink" Target="https://abc.xyz/investor/events/event-details/2026/2025-Q4-Earnings-Call-2026-Dr_C033hS6/default.aspx" TargetMode="External"/><Relationship Id="rIdouf9_e8lnaoj2fyybgk6b" Type="http://schemas.openxmlformats.org/officeDocument/2006/relationships/hyperlink" Target="https://www.sec.gov/Archives/edgar/data/1018724/000101872426000024/amzn-20260630xex991.htm" TargetMode="External"/><Relationship Id="rId4sidc0zyy26sxebryrp9s" Type="http://schemas.openxmlformats.org/officeDocument/2006/relationships/hyperlink" Target="https://www.sec.gov/Archives/edgar/data/1326801/000162828026050705/meta-20260630.htm"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2026-09-01T13:25:23.786Z</dcterms:created>
  <dcterms:modified xsi:type="dcterms:W3CDTF">2026-09-01T13:25:23.786Z</dcterms:modified>
</cp:coreProperties>
</file>

<file path=docProps/custom.xml><?xml version="1.0" encoding="utf-8"?>
<Properties xmlns="http://schemas.openxmlformats.org/officeDocument/2006/custom-properties" xmlns:vt="http://schemas.openxmlformats.org/officeDocument/2006/docPropsVTypes"/>
</file>