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미국 AI 밸류체인 일간 로테이션 보고서</w:t>
      </w:r>
    </w:p>
    <w:p>
      <w:pPr>
        <w:pStyle w:val="Subtitle"/>
      </w:pPr>
      <w:r>
        <w:t>최근 1일을 먼저 읽고, 3개월 누적·구간별 흐름·낙폭·기여도를 함께 점검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600"/>
        <w:gridCol w:w="1400"/>
        <w:gridCol w:w="3960"/>
      </w:tblGrid>
      <w:tr>
        <w:trPr>
          <w:tblHeader w:val="true"/>
        </w:trPr>
        <w:tc>
          <w:tcPr>
            <w:tcW w:type="dxa" w:w="14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26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값</w:t>
            </w:r>
          </w:p>
        </w:tc>
        <w:tc>
          <w:tcPr>
            <w:tcW w:type="dxa" w:w="14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396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값</w:t>
            </w:r>
          </w:p>
        </w:tc>
      </w:tr>
      <w:tr>
        <w:tc>
          <w:tcPr>
            <w:tcW w:type="dxa" w:w="1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기준일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2026-09-02</w:t>
            </w:r>
          </w:p>
        </w:tc>
        <w:tc>
          <w:tcPr>
            <w:tcW w:type="dxa" w:w="1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직전 거래일</w:t>
            </w:r>
          </w:p>
        </w:tc>
        <w:tc>
          <w:tcPr>
            <w:tcW w:type="dxa" w:w="3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2026-09-01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3개월 시작</w:t>
            </w:r>
          </w:p>
        </w:tc>
        <w:tc>
          <w:tcPr>
            <w:tcW w:type="dxa" w:w="26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2026-06-02</w:t>
            </w:r>
          </w:p>
        </w:tc>
        <w:tc>
          <w:tcPr>
            <w:tcW w:type="dxa" w:w="14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유니버스</w:t>
            </w:r>
          </w:p>
        </w:tc>
        <w:tc>
          <w:tcPr>
            <w:tcW w:type="dxa" w:w="396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분류 73개 / 유효 73개</w:t>
            </w:r>
          </w:p>
        </w:tc>
      </w:tr>
    </w:tbl>
    <w:p>
      <w:pPr>
        <w:spacing w:after="40"/>
      </w:pPr>
    </w:p>
    <w:p>
      <w:pPr>
        <w:pStyle w:val="Heading1"/>
      </w:pPr>
      <w:r>
        <w:t>1. 오늘의 판단</w:t>
      </w:r>
    </w:p>
    <w:p>
      <w:pPr>
        <w:spacing w:after="120" w:line="264" w:lineRule="auto"/>
      </w:pPr>
      <w:r>
        <w:rPr>
          <w:rFonts w:ascii="Malgun Gothic" w:hAnsi="Malgun Gothic" w:eastAsia="Malgun Gothic"/>
          <w:b/>
          <w:i w:val="0"/>
          <w:color w:val="15803D"/>
          <w:sz w:val="22"/>
        </w:rPr>
        <w:t xml:space="preserve">[FACT] </w:t>
      </w:r>
      <w:r>
        <w:rPr>
          <w:rFonts w:ascii="Malgun Gothic" w:hAnsi="Malgun Gothic" w:eastAsia="Malgun Gothic"/>
          <w:b w:val="0"/>
          <w:i w:val="0"/>
          <w:color w:val="000000"/>
          <w:sz w:val="22"/>
        </w:rPr>
        <w:t>AI 분류 종목 동일가중은 1일 -0.6%로 SPX 시가총액가중 구성종목 프록시 +0.5%를 -1.1%p 하회했다.</w:t>
      </w:r>
    </w:p>
    <w:p>
      <w:pPr>
        <w:spacing w:after="120" w:line="264" w:lineRule="auto"/>
      </w:pPr>
      <w:r>
        <w:rPr>
          <w:rFonts w:ascii="Malgun Gothic" w:hAnsi="Malgun Gothic" w:eastAsia="Malgun Gothic"/>
          <w:b/>
          <w:i w:val="0"/>
          <w:color w:val="2E74B5"/>
          <w:sz w:val="22"/>
        </w:rPr>
        <w:t xml:space="preserve">[INFERENCE] </w:t>
      </w:r>
      <w:r>
        <w:rPr>
          <w:rFonts w:ascii="Malgun Gothic" w:hAnsi="Malgun Gothic" w:eastAsia="Malgun Gothic"/>
          <w:b w:val="0"/>
          <w:i w:val="0"/>
          <w:color w:val="000000"/>
          <w:sz w:val="22"/>
        </w:rPr>
        <w:t>판정: 추세 강화. 3개월 AI 종목 동일가중 -11.1%와 같은 방향의 일간 약세이며, 소프트웨어·사이버보안 하락이 단기 언더퍼포먼스를 주도했다.</w:t>
      </w:r>
    </w:p>
    <w:p>
      <w:pPr>
        <w:spacing w:after="120" w:line="264" w:lineRule="auto"/>
      </w:pPr>
      <w:r>
        <w:rPr>
          <w:rFonts w:ascii="Malgun Gothic" w:hAnsi="Malgun Gothic" w:eastAsia="Malgun Gothic"/>
          <w:b/>
          <w:i w:val="0"/>
          <w:color w:val="2E74B5"/>
          <w:sz w:val="22"/>
        </w:rPr>
        <w:t xml:space="preserve">[INFERENCE] </w:t>
      </w:r>
      <w:r>
        <w:rPr>
          <w:rFonts w:ascii="Malgun Gothic" w:hAnsi="Malgun Gothic" w:eastAsia="Malgun Gothic"/>
          <w:b w:val="0"/>
          <w:i w:val="0"/>
          <w:color w:val="000000"/>
          <w:sz w:val="22"/>
        </w:rPr>
        <w:t>다만 하이퍼스케일러·AI 연산·전력·엣지는 1일 플러스여서 AI 전면 이탈보다 내부 로테이션 성격이 강하다.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17365D"/>
                <w:sz w:val="18"/>
              </w:rPr>
              <w:t>[그래프 삽입 위치: 1D 단계별 수익률 막대] 핵심 메시지: 방어적 인프라 반등과 소프트웨어·사이버보안 약세가 동시에 나타났다.</w:t>
            </w:r>
          </w:p>
        </w:tc>
      </w:tr>
    </w:tbl>
    <w:p>
      <w:pPr>
        <w:spacing w:after="40"/>
      </w:pPr>
    </w:p>
    <w:p>
      <w:pPr>
        <w:pStyle w:val="Heading1"/>
      </w:pPr>
      <w:r>
        <w:t>2. 최근 1일: 단계별 로테이션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700"/>
        <w:gridCol w:w="1500"/>
        <w:gridCol w:w="1700"/>
        <w:gridCol w:w="1960"/>
      </w:tblGrid>
      <w:tr>
        <w:trPr>
          <w:tblHeader w:val="true"/>
        </w:trPr>
        <w:tc>
          <w:tcPr>
            <w:tcW w:type="dxa" w:w="35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밸류체인 단계</w:t>
            </w:r>
          </w:p>
        </w:tc>
        <w:tc>
          <w:tcPr>
            <w:tcW w:type="dxa" w:w="7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N</w:t>
            </w:r>
          </w:p>
        </w:tc>
        <w:tc>
          <w:tcPr>
            <w:tcW w:type="dxa" w:w="15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1D</w:t>
            </w:r>
          </w:p>
        </w:tc>
        <w:tc>
          <w:tcPr>
            <w:tcW w:type="dxa" w:w="17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상승 종목 비중</w:t>
            </w:r>
          </w:p>
        </w:tc>
        <w:tc>
          <w:tcPr>
            <w:tcW w:type="dxa" w:w="196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SPX 시총가중 대비</w:t>
            </w:r>
          </w:p>
        </w:tc>
      </w:tr>
      <w:tr>
        <w:tc>
          <w:tcPr>
            <w:tcW w:type="dxa" w:w="3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하이퍼스케일러·플랫폼</w:t>
            </w:r>
          </w:p>
        </w:tc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+0.9%</w:t>
            </w:r>
          </w:p>
        </w:tc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+66.7%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+0.4%</w:t>
            </w:r>
          </w:p>
        </w:tc>
      </w:tr>
      <w:tr>
        <w:tc>
          <w:tcPr>
            <w:tcW w:type="dxa" w:w="35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엣지·Physical AI</w:t>
            </w:r>
          </w:p>
        </w:tc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5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+0.6%</w:t>
            </w:r>
          </w:p>
        </w:tc>
        <w:tc>
          <w:tcPr>
            <w:tcW w:type="dxa" w:w="1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+62.5%</w:t>
            </w:r>
          </w:p>
        </w:tc>
        <w:tc>
          <w:tcPr>
            <w:tcW w:type="dxa" w:w="196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+0.1%</w:t>
            </w:r>
          </w:p>
        </w:tc>
      </w:tr>
      <w:tr>
        <w:tc>
          <w:tcPr>
            <w:tcW w:type="dxa" w:w="3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전력 생산</w:t>
            </w:r>
          </w:p>
        </w:tc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+0.4%</w:t>
            </w:r>
          </w:p>
        </w:tc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+100.0%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-0.1%</w:t>
            </w:r>
          </w:p>
        </w:tc>
      </w:tr>
      <w:tr>
        <w:tc>
          <w:tcPr>
            <w:tcW w:type="dxa" w:w="35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AI 연산·메모리</w:t>
            </w:r>
          </w:p>
        </w:tc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5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+0.4%</w:t>
            </w:r>
          </w:p>
        </w:tc>
        <w:tc>
          <w:tcPr>
            <w:tcW w:type="dxa" w:w="1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+57.1%</w:t>
            </w:r>
          </w:p>
        </w:tc>
        <w:tc>
          <w:tcPr>
            <w:tcW w:type="dxa" w:w="196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-0.1%</w:t>
            </w:r>
          </w:p>
        </w:tc>
      </w:tr>
      <w:tr>
        <w:tc>
          <w:tcPr>
            <w:tcW w:type="dxa" w:w="3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전력·냉각 장비</w:t>
            </w:r>
          </w:p>
        </w:tc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+0.2%</w:t>
            </w:r>
          </w:p>
        </w:tc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+71.4%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-0.3%</w:t>
            </w:r>
          </w:p>
        </w:tc>
      </w:tr>
      <w:tr>
        <w:tc>
          <w:tcPr>
            <w:tcW w:type="dxa" w:w="35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파운드리·반도체 장비·EDA</w:t>
            </w:r>
          </w:p>
        </w:tc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5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-0.2%</w:t>
            </w:r>
          </w:p>
        </w:tc>
        <w:tc>
          <w:tcPr>
            <w:tcW w:type="dxa" w:w="1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+50.0%</w:t>
            </w:r>
          </w:p>
        </w:tc>
        <w:tc>
          <w:tcPr>
            <w:tcW w:type="dxa" w:w="196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-0.7%</w:t>
            </w:r>
          </w:p>
        </w:tc>
      </w:tr>
      <w:tr>
        <w:tc>
          <w:tcPr>
            <w:tcW w:type="dxa" w:w="3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서버·스토리지</w:t>
            </w:r>
          </w:p>
        </w:tc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-0.7%</w:t>
            </w:r>
          </w:p>
        </w:tc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+22.2%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-1.2%</w:t>
            </w:r>
          </w:p>
        </w:tc>
      </w:tr>
      <w:tr>
        <w:tc>
          <w:tcPr>
            <w:tcW w:type="dxa" w:w="35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E&amp;C·설계·전기공사</w:t>
            </w:r>
          </w:p>
        </w:tc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5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-1.1%</w:t>
            </w:r>
          </w:p>
        </w:tc>
        <w:tc>
          <w:tcPr>
            <w:tcW w:type="dxa" w:w="1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+0.0%</w:t>
            </w:r>
          </w:p>
        </w:tc>
        <w:tc>
          <w:tcPr>
            <w:tcW w:type="dxa" w:w="196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-1.6%</w:t>
            </w:r>
          </w:p>
        </w:tc>
      </w:tr>
      <w:tr>
        <w:tc>
          <w:tcPr>
            <w:tcW w:type="dxa" w:w="3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데이터센터 REIT·운영사</w:t>
            </w:r>
          </w:p>
        </w:tc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-1.5%</w:t>
            </w:r>
          </w:p>
        </w:tc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+0.0%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-2.0%</w:t>
            </w:r>
          </w:p>
        </w:tc>
      </w:tr>
      <w:tr>
        <w:tc>
          <w:tcPr>
            <w:tcW w:type="dxa" w:w="35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AI 소프트웨어·데이터</w:t>
            </w:r>
          </w:p>
        </w:tc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5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-1.8%</w:t>
            </w:r>
          </w:p>
        </w:tc>
        <w:tc>
          <w:tcPr>
            <w:tcW w:type="dxa" w:w="1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+11.1%</w:t>
            </w:r>
          </w:p>
        </w:tc>
        <w:tc>
          <w:tcPr>
            <w:tcW w:type="dxa" w:w="196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-2.4%</w:t>
            </w:r>
          </w:p>
        </w:tc>
      </w:tr>
      <w:tr>
        <w:tc>
          <w:tcPr>
            <w:tcW w:type="dxa" w:w="3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네트워크·광통신</w:t>
            </w:r>
          </w:p>
        </w:tc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-2.0%</w:t>
            </w:r>
          </w:p>
        </w:tc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+0.0%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-2.5%</w:t>
            </w:r>
          </w:p>
        </w:tc>
      </w:tr>
      <w:tr>
        <w:tc>
          <w:tcPr>
            <w:tcW w:type="dxa" w:w="35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사이버보안</w:t>
            </w:r>
          </w:p>
        </w:tc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5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-3.2%</w:t>
            </w:r>
          </w:p>
        </w:tc>
        <w:tc>
          <w:tcPr>
            <w:tcW w:type="dxa" w:w="1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+20.0%</w:t>
            </w:r>
          </w:p>
        </w:tc>
        <w:tc>
          <w:tcPr>
            <w:tcW w:type="dxa" w:w="196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-3.7%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Malgun Gothic" w:hAnsi="Malgun Gothic" w:eastAsia="Malgun Gothic"/>
          <w:b/>
          <w:i w:val="0"/>
          <w:color w:val="15803D"/>
          <w:sz w:val="22"/>
        </w:rPr>
        <w:t xml:space="preserve">[FACT] </w:t>
      </w:r>
      <w:r>
        <w:rPr>
          <w:rFonts w:ascii="Malgun Gothic" w:hAnsi="Malgun Gothic" w:eastAsia="Malgun Gothic"/>
          <w:b w:val="0"/>
          <w:i w:val="0"/>
          <w:color w:val="000000"/>
          <w:sz w:val="22"/>
        </w:rPr>
        <w:t>상위 단계는 하이퍼스케일러·플랫폼 +0.9%, 엣지·Physical AI +0.6%; 하위는 사이버보안 -3.2%, 네트워크·광통신 -2.0%였다.</w:t>
      </w:r>
    </w:p>
    <w:p>
      <w:pPr>
        <w:pStyle w:val="Heading1"/>
      </w:pPr>
      <w:r>
        <w:t>3. 핵심 종목과 직접 촉매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700"/>
        <w:gridCol w:w="1800"/>
        <w:gridCol w:w="900"/>
        <w:gridCol w:w="900"/>
        <w:gridCol w:w="4360"/>
      </w:tblGrid>
      <w:tr>
        <w:trPr>
          <w:tblHeader w:val="true"/>
        </w:trPr>
        <w:tc>
          <w:tcPr>
            <w:tcW w:type="dxa" w:w="7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구분</w:t>
            </w:r>
          </w:p>
        </w:tc>
        <w:tc>
          <w:tcPr>
            <w:tcW w:type="dxa" w:w="7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티커</w:t>
            </w:r>
          </w:p>
        </w:tc>
        <w:tc>
          <w:tcPr>
            <w:tcW w:type="dxa" w:w="18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단계</w:t>
            </w:r>
          </w:p>
        </w:tc>
        <w:tc>
          <w:tcPr>
            <w:tcW w:type="dxa" w:w="9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1D</w:t>
            </w:r>
          </w:p>
        </w:tc>
        <w:tc>
          <w:tcPr>
            <w:tcW w:type="dxa" w:w="9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3M</w:t>
            </w:r>
          </w:p>
        </w:tc>
        <w:tc>
          <w:tcPr>
            <w:tcW w:type="dxa" w:w="436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공식 촉매·판정</w:t>
            </w:r>
          </w:p>
        </w:tc>
      </w:tr>
      <w:tr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상승</w:t>
            </w:r>
          </w:p>
        </w:tc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DELL</w:t>
            </w:r>
          </w:p>
        </w:tc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서버·스토리지</w:t>
            </w:r>
          </w:p>
        </w:tc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+4.5%</w:t>
            </w:r>
          </w:p>
        </w:tc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+2.0%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[FACT] 2026-09-01 FY2027 2Q 실적 발표. AI 주문·AI 서버 매출 확대가 직접 확인됐다. URL: https://investors.delltechnologies.com/</w:t>
            </w:r>
          </w:p>
        </w:tc>
      </w:tr>
      <w:tr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상승</w:t>
            </w:r>
          </w:p>
        </w:tc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NVDA</w:t>
            </w:r>
          </w:p>
        </w:tc>
        <w:tc>
          <w:tcPr>
            <w:tcW w:type="dxa" w:w="18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AI 연산·메모리</w:t>
            </w:r>
          </w:p>
        </w:tc>
        <w:tc>
          <w:tcPr>
            <w:tcW w:type="dxa" w:w="9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+3.9%</w:t>
            </w:r>
          </w:p>
        </w:tc>
        <w:tc>
          <w:tcPr>
            <w:tcW w:type="dxa" w:w="9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+1.4%</w:t>
            </w:r>
          </w:p>
        </w:tc>
        <w:tc>
          <w:tcPr>
            <w:tcW w:type="dxa" w:w="436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[FACT] 당일 신규 공식 발표는 확인되지 않았다. 최근 공식 기준점은 2026-08-26 FY2027 2Q 실적(매출 962억달러, 데이터센터 890억달러)이다. URL: https://investor.nvidia.com/news/press-release-details/2026/NVIDIA-Announces-Financial-Results-for-Second-Quarter-Fiscal-2027/default.aspx</w:t>
            </w:r>
          </w:p>
        </w:tc>
      </w:tr>
      <w:tr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상승</w:t>
            </w:r>
          </w:p>
        </w:tc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ORCL</w:t>
            </w:r>
          </w:p>
        </w:tc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하이퍼스케일러·플랫폼</w:t>
            </w:r>
          </w:p>
        </w:tc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+2.9%</w:t>
            </w:r>
          </w:p>
        </w:tc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-40.6%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[INFERENCE] 직접 촉매 확인 불가; 업종 동행성 또는 수급 영향 가능성.</w:t>
            </w:r>
          </w:p>
        </w:tc>
      </w:tr>
      <w:tr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상승</w:t>
            </w:r>
          </w:p>
        </w:tc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META</w:t>
            </w:r>
          </w:p>
        </w:tc>
        <w:tc>
          <w:tcPr>
            <w:tcW w:type="dxa" w:w="18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하이퍼스케일러·플랫폼</w:t>
            </w:r>
          </w:p>
        </w:tc>
        <w:tc>
          <w:tcPr>
            <w:tcW w:type="dxa" w:w="9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+2.7%</w:t>
            </w:r>
          </w:p>
        </w:tc>
        <w:tc>
          <w:tcPr>
            <w:tcW w:type="dxa" w:w="9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-0.6%</w:t>
            </w:r>
          </w:p>
        </w:tc>
        <w:tc>
          <w:tcPr>
            <w:tcW w:type="dxa" w:w="436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[INFERENCE] 직접 촉매 확인 불가; 업종 동행성 또는 수급 영향 가능성.</w:t>
            </w:r>
          </w:p>
        </w:tc>
      </w:tr>
      <w:tr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상승</w:t>
            </w:r>
          </w:p>
        </w:tc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NXPI</w:t>
            </w:r>
          </w:p>
        </w:tc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엣지·Physical AI</w:t>
            </w:r>
          </w:p>
        </w:tc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+2.5%</w:t>
            </w:r>
          </w:p>
        </w:tc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-29.5%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[INFERENCE] 직접 촉매 확인 불가; 업종 동행성 또는 수급 영향 가능성.</w:t>
            </w:r>
          </w:p>
        </w:tc>
      </w:tr>
      <w:tr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하락</w:t>
            </w:r>
          </w:p>
        </w:tc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PANW</w:t>
            </w:r>
          </w:p>
        </w:tc>
        <w:tc>
          <w:tcPr>
            <w:tcW w:type="dxa" w:w="18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사이버보안</w:t>
            </w:r>
          </w:p>
        </w:tc>
        <w:tc>
          <w:tcPr>
            <w:tcW w:type="dxa" w:w="9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-7.9%</w:t>
            </w:r>
          </w:p>
        </w:tc>
        <w:tc>
          <w:tcPr>
            <w:tcW w:type="dxa" w:w="9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+12.2%</w:t>
            </w:r>
          </w:p>
        </w:tc>
        <w:tc>
          <w:tcPr>
            <w:tcW w:type="dxa" w:w="436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[FACT] 2026-09-01 FY2026 4Q 실적 발표 직후 거래일이다. 매출·NGS ARR·RPO 성장과 FY2027 전망이 공개됐다. URL: https://investors.paloaltonetworks.com/news-releases/news-release-details/palo-alto-networks-reports-fiscal-fourth-quarter-and-fiscal-10</w:t>
            </w:r>
          </w:p>
        </w:tc>
      </w:tr>
      <w:tr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하락</w:t>
            </w:r>
          </w:p>
        </w:tc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PLTR</w:t>
            </w:r>
          </w:p>
        </w:tc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AI 소프트웨어·데이터</w:t>
            </w:r>
          </w:p>
        </w:tc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-4.9%</w:t>
            </w:r>
          </w:p>
        </w:tc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+12.5%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[OPEN QUESTION] 2026-09-02 이전 동일 날짜의 신규 IR/SEC 직접 촉매를 확인하지 못했다. 최근 실적은 2026-08-03이다. URL: https://investors.palantir.com/news-details/2026/Palantir-Reports-</w:t>
            </w:r>
          </w:p>
        </w:tc>
      </w:tr>
      <w:tr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하락</w:t>
            </w:r>
          </w:p>
        </w:tc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DDOG</w:t>
            </w:r>
          </w:p>
        </w:tc>
        <w:tc>
          <w:tcPr>
            <w:tcW w:type="dxa" w:w="18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AI 소프트웨어·데이터</w:t>
            </w:r>
          </w:p>
        </w:tc>
        <w:tc>
          <w:tcPr>
            <w:tcW w:type="dxa" w:w="9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-4.6%</w:t>
            </w:r>
          </w:p>
        </w:tc>
        <w:tc>
          <w:tcPr>
            <w:tcW w:type="dxa" w:w="9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-20.7%</w:t>
            </w:r>
          </w:p>
        </w:tc>
        <w:tc>
          <w:tcPr>
            <w:tcW w:type="dxa" w:w="436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[OPEN QUESTION] 2026-09-02 이전 동일 날짜의 신규 IR/SEC 직접 촉매를 확인하지 못했다. 최근 실적은 2026-08-06이다. URL: https://investors.datadoghq.com/news-releases/news-release-details/datadog-announces-second-quarter-2026-financial-results/</w:t>
            </w:r>
          </w:p>
        </w:tc>
      </w:tr>
      <w:tr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하락</w:t>
            </w:r>
          </w:p>
        </w:tc>
        <w:tc>
          <w:tcPr>
            <w:tcW w:type="dxa" w:w="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CRWD</w:t>
            </w:r>
          </w:p>
        </w:tc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사이버보안</w:t>
            </w:r>
          </w:p>
        </w:tc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-4.4%</w:t>
            </w:r>
          </w:p>
        </w:tc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+7.0%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[INFERENCE] 직접 촉매 확인 불가; 업종 동행성 또는 수급 영향 가능성.</w:t>
            </w:r>
          </w:p>
        </w:tc>
      </w:tr>
      <w:tr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하락</w:t>
            </w:r>
          </w:p>
        </w:tc>
        <w:tc>
          <w:tcPr>
            <w:tcW w:type="dxa" w:w="7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FTNT</w:t>
            </w:r>
          </w:p>
        </w:tc>
        <w:tc>
          <w:tcPr>
            <w:tcW w:type="dxa" w:w="18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사이버보안</w:t>
            </w:r>
          </w:p>
        </w:tc>
        <w:tc>
          <w:tcPr>
            <w:tcW w:type="dxa" w:w="9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-4.3%</w:t>
            </w:r>
          </w:p>
        </w:tc>
        <w:tc>
          <w:tcPr>
            <w:tcW w:type="dxa" w:w="9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+4.1%</w:t>
            </w:r>
          </w:p>
        </w:tc>
        <w:tc>
          <w:tcPr>
            <w:tcW w:type="dxa" w:w="436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[INFERENCE] 직접 촉매 확인 불가; 업종 동행성 또는 수급 영향 가능성.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Malgun Gothic" w:hAnsi="Malgun Gothic" w:eastAsia="Malgun Gothic"/>
          <w:b/>
          <w:i w:val="0"/>
          <w:color w:val="2E74B5"/>
          <w:sz w:val="22"/>
        </w:rPr>
        <w:t xml:space="preserve">[INFERENCE] </w:t>
      </w:r>
      <w:r>
        <w:rPr>
          <w:rFonts w:ascii="Malgun Gothic" w:hAnsi="Malgun Gothic" w:eastAsia="Malgun Gothic"/>
          <w:b w:val="0"/>
          <w:i w:val="0"/>
          <w:color w:val="000000"/>
          <w:sz w:val="22"/>
        </w:rPr>
        <w:t>PANW 하락은 강한 헤드라인 수치 자체보다 기대치·인수통합·가이던스 소화가 영향을 줬을 가능성이 있으나, 가격 반응의 단일 원인으로 단정하지 않는다.</w:t>
      </w:r>
    </w:p>
    <w:p>
      <w:pPr>
        <w:pStyle w:val="Heading1"/>
      </w:pPr>
      <w:r>
        <w:t>4. 3개월 추세, 구간 변화와 낙폭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00"/>
        <w:gridCol w:w="1100"/>
        <w:gridCol w:w="1100"/>
        <w:gridCol w:w="1100"/>
        <w:gridCol w:w="1230"/>
        <w:gridCol w:w="1230"/>
      </w:tblGrid>
      <w:tr>
        <w:trPr>
          <w:tblHeader w:val="true"/>
        </w:trPr>
        <w:tc>
          <w:tcPr>
            <w:tcW w:type="dxa" w:w="30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밸류체인 단계</w:t>
            </w:r>
          </w:p>
        </w:tc>
        <w:tc>
          <w:tcPr>
            <w:tcW w:type="dxa" w:w="6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N</w:t>
            </w:r>
          </w:p>
        </w:tc>
        <w:tc>
          <w:tcPr>
            <w:tcW w:type="dxa" w:w="11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구간 1</w:t>
            </w:r>
          </w:p>
        </w:tc>
        <w:tc>
          <w:tcPr>
            <w:tcW w:type="dxa" w:w="11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구간 2</w:t>
            </w:r>
          </w:p>
        </w:tc>
        <w:tc>
          <w:tcPr>
            <w:tcW w:type="dxa" w:w="11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구간 3</w:t>
            </w:r>
          </w:p>
        </w:tc>
        <w:tc>
          <w:tcPr>
            <w:tcW w:type="dxa" w:w="123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3M</w:t>
            </w:r>
          </w:p>
        </w:tc>
        <w:tc>
          <w:tcPr>
            <w:tcW w:type="dxa" w:w="123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MDD</w:t>
            </w:r>
          </w:p>
        </w:tc>
      </w:tr>
      <w:tr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AI 소프트웨어·데이터</w:t>
            </w:r>
          </w:p>
        </w:tc>
        <w:tc>
          <w:tcPr>
            <w:tcW w:type="dxa" w:w="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-14.3%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+6.0%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+12.4%</w:t>
            </w:r>
          </w:p>
        </w:tc>
        <w:tc>
          <w:tcPr>
            <w:tcW w:type="dxa" w:w="1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+2.2%</w:t>
            </w:r>
          </w:p>
        </w:tc>
        <w:tc>
          <w:tcPr>
            <w:tcW w:type="dxa" w:w="1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-25.6%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사이버보안</w:t>
            </w:r>
          </w:p>
        </w:tc>
        <w:tc>
          <w:tcPr>
            <w:tcW w:type="dxa" w:w="6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-2.8%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+0.9%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+1.6%</w:t>
            </w:r>
          </w:p>
        </w:tc>
        <w:tc>
          <w:tcPr>
            <w:tcW w:type="dxa" w:w="123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-0.4%</w:t>
            </w:r>
          </w:p>
        </w:tc>
        <w:tc>
          <w:tcPr>
            <w:tcW w:type="dxa" w:w="123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-12.7%</w:t>
            </w:r>
          </w:p>
        </w:tc>
      </w:tr>
      <w:tr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데이터센터 REIT·운영사</w:t>
            </w:r>
          </w:p>
        </w:tc>
        <w:tc>
          <w:tcPr>
            <w:tcW w:type="dxa" w:w="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-7.5%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+5.0%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-4.3%</w:t>
            </w:r>
          </w:p>
        </w:tc>
        <w:tc>
          <w:tcPr>
            <w:tcW w:type="dxa" w:w="1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-7.1%</w:t>
            </w:r>
          </w:p>
        </w:tc>
        <w:tc>
          <w:tcPr>
            <w:tcW w:type="dxa" w:w="1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-11.3%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전력·냉각 장비</w:t>
            </w:r>
          </w:p>
        </w:tc>
        <w:tc>
          <w:tcPr>
            <w:tcW w:type="dxa" w:w="6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+1.6%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-5.9%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-4.2%</w:t>
            </w:r>
          </w:p>
        </w:tc>
        <w:tc>
          <w:tcPr>
            <w:tcW w:type="dxa" w:w="123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-8.4%</w:t>
            </w:r>
          </w:p>
        </w:tc>
        <w:tc>
          <w:tcPr>
            <w:tcW w:type="dxa" w:w="123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-17.4%</w:t>
            </w:r>
          </w:p>
        </w:tc>
      </w:tr>
      <w:tr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전력 생산</w:t>
            </w:r>
          </w:p>
        </w:tc>
        <w:tc>
          <w:tcPr>
            <w:tcW w:type="dxa" w:w="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-4.8%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+2.0%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-6.1%</w:t>
            </w:r>
          </w:p>
        </w:tc>
        <w:tc>
          <w:tcPr>
            <w:tcW w:type="dxa" w:w="1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-8.8%</w:t>
            </w:r>
          </w:p>
        </w:tc>
        <w:tc>
          <w:tcPr>
            <w:tcW w:type="dxa" w:w="1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-14.3%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하이퍼스케일러·플랫폼</w:t>
            </w:r>
          </w:p>
        </w:tc>
        <w:tc>
          <w:tcPr>
            <w:tcW w:type="dxa" w:w="6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-13.4%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-0.5%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+3.0%</w:t>
            </w:r>
          </w:p>
        </w:tc>
        <w:tc>
          <w:tcPr>
            <w:tcW w:type="dxa" w:w="123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-11.2%</w:t>
            </w:r>
          </w:p>
        </w:tc>
        <w:tc>
          <w:tcPr>
            <w:tcW w:type="dxa" w:w="123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-21.8%</w:t>
            </w:r>
          </w:p>
        </w:tc>
      </w:tr>
      <w:tr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서버·스토리지</w:t>
            </w:r>
          </w:p>
        </w:tc>
        <w:tc>
          <w:tcPr>
            <w:tcW w:type="dxa" w:w="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-14.1%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-1.1%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+3.3%</w:t>
            </w:r>
          </w:p>
        </w:tc>
        <w:tc>
          <w:tcPr>
            <w:tcW w:type="dxa" w:w="1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-12.2%</w:t>
            </w:r>
          </w:p>
        </w:tc>
        <w:tc>
          <w:tcPr>
            <w:tcW w:type="dxa" w:w="1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-25.0%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파운드리·반도체 장비·EDA</w:t>
            </w:r>
          </w:p>
        </w:tc>
        <w:tc>
          <w:tcPr>
            <w:tcW w:type="dxa" w:w="6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+2.5%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-12.1%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-5.1%</w:t>
            </w:r>
          </w:p>
        </w:tc>
        <w:tc>
          <w:tcPr>
            <w:tcW w:type="dxa" w:w="123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-14.5%</w:t>
            </w:r>
          </w:p>
        </w:tc>
        <w:tc>
          <w:tcPr>
            <w:tcW w:type="dxa" w:w="123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-31.6%</w:t>
            </w:r>
          </w:p>
        </w:tc>
      </w:tr>
      <w:tr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E&amp;C·설계·전기공사</w:t>
            </w:r>
          </w:p>
        </w:tc>
        <w:tc>
          <w:tcPr>
            <w:tcW w:type="dxa" w:w="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-6.3%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+0.8%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-9.7%</w:t>
            </w:r>
          </w:p>
        </w:tc>
        <w:tc>
          <w:tcPr>
            <w:tcW w:type="dxa" w:w="1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-14.7%</w:t>
            </w:r>
          </w:p>
        </w:tc>
        <w:tc>
          <w:tcPr>
            <w:tcW w:type="dxa" w:w="1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-24.3%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AI 연산·메모리</w:t>
            </w:r>
          </w:p>
        </w:tc>
        <w:tc>
          <w:tcPr>
            <w:tcW w:type="dxa" w:w="6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-10.0%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-7.6%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+2.1%</w:t>
            </w:r>
          </w:p>
        </w:tc>
        <w:tc>
          <w:tcPr>
            <w:tcW w:type="dxa" w:w="123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-15.1%</w:t>
            </w:r>
          </w:p>
        </w:tc>
        <w:tc>
          <w:tcPr>
            <w:tcW w:type="dxa" w:w="123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-27.2%</w:t>
            </w:r>
          </w:p>
        </w:tc>
      </w:tr>
      <w:tr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엣지·Physical AI</w:t>
            </w:r>
          </w:p>
        </w:tc>
        <w:tc>
          <w:tcPr>
            <w:tcW w:type="dxa" w:w="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-8.6%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-9.3%</w:t>
            </w:r>
          </w:p>
        </w:tc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+0.9%</w:t>
            </w:r>
          </w:p>
        </w:tc>
        <w:tc>
          <w:tcPr>
            <w:tcW w:type="dxa" w:w="1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-16.4%</w:t>
            </w:r>
          </w:p>
        </w:tc>
        <w:tc>
          <w:tcPr>
            <w:tcW w:type="dxa" w:w="1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-17.9%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네트워크·광통신</w:t>
            </w:r>
          </w:p>
        </w:tc>
        <w:tc>
          <w:tcPr>
            <w:tcW w:type="dxa" w:w="6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-13.8%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-7.5%</w:t>
            </w:r>
          </w:p>
        </w:tc>
        <w:tc>
          <w:tcPr>
            <w:tcW w:type="dxa" w:w="11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+2.4%</w:t>
            </w:r>
          </w:p>
        </w:tc>
        <w:tc>
          <w:tcPr>
            <w:tcW w:type="dxa" w:w="123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-18.4%</w:t>
            </w:r>
          </w:p>
        </w:tc>
        <w:tc>
          <w:tcPr>
            <w:tcW w:type="dxa" w:w="123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-29.1%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Malgun Gothic" w:hAnsi="Malgun Gothic" w:eastAsia="Malgun Gothic"/>
          <w:b/>
          <w:i w:val="0"/>
          <w:color w:val="15803D"/>
          <w:sz w:val="22"/>
        </w:rPr>
        <w:t xml:space="preserve">[FACT] </w:t>
      </w:r>
      <w:r>
        <w:rPr>
          <w:rFonts w:ascii="Malgun Gothic" w:hAnsi="Malgun Gothic" w:eastAsia="Malgun Gothic"/>
          <w:b w:val="0"/>
          <w:i w:val="0"/>
          <w:color w:val="000000"/>
          <w:sz w:val="22"/>
        </w:rPr>
        <w:t>3개월 수익률은 AI 소프트웨어·데이터 +2.2%가 유일한 뚜렷한 플러스였고, 네트워크·광통신 -18.4%가 최하위였다.</w:t>
      </w:r>
    </w:p>
    <w:p>
      <w:pPr>
        <w:spacing w:after="120" w:line="264" w:lineRule="auto"/>
      </w:pPr>
      <w:r>
        <w:rPr>
          <w:rFonts w:ascii="Malgun Gothic" w:hAnsi="Malgun Gothic" w:eastAsia="Malgun Gothic"/>
          <w:b/>
          <w:i w:val="0"/>
          <w:color w:val="2E74B5"/>
          <w:sz w:val="22"/>
        </w:rPr>
        <w:t xml:space="preserve">[INFERENCE] </w:t>
      </w:r>
      <w:r>
        <w:rPr>
          <w:rFonts w:ascii="Malgun Gothic" w:hAnsi="Malgun Gothic" w:eastAsia="Malgun Gothic"/>
          <w:b w:val="0"/>
          <w:i w:val="0"/>
          <w:color w:val="000000"/>
          <w:sz w:val="22"/>
        </w:rPr>
        <w:t>구간 3에서 소프트웨어가 반등했지만 당일 다시 약세로 전환했다. 반전 확인에는 다음 실적·추정치 상향의 확산이 필요하다.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17365D"/>
                <w:sz w:val="18"/>
              </w:rPr>
              <w:t>[그래프 삽입 위치: 3개월 단계별 정규화 지수] 핵심 메시지: 소프트웨어 회복과 하드웨어·인프라의 누적 조정이 분리되어 있다.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17365D"/>
                <w:sz w:val="18"/>
              </w:rPr>
              <w:t>[그래프 삽입 위치: 3개 월별 구간 히트맵] 핵심 메시지: 구간 3 반등이 전 단계로 확산되지 않았다.</w:t>
            </w:r>
          </w:p>
        </w:tc>
      </w:tr>
    </w:tbl>
    <w:p>
      <w:pPr>
        <w:spacing w:after="40"/>
      </w:pPr>
    </w:p>
    <w:p>
      <w:pPr>
        <w:pStyle w:val="Heading1"/>
      </w:pPr>
      <w:r>
        <w:t>5. 단계별 1D·3M 기여 상하위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90"/>
        <w:gridCol w:w="1790"/>
        <w:gridCol w:w="1790"/>
        <w:gridCol w:w="1790"/>
      </w:tblGrid>
      <w:tr>
        <w:trPr>
          <w:tblHeader w:val="true"/>
        </w:trPr>
        <w:tc>
          <w:tcPr>
            <w:tcW w:type="dxa" w:w="22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단계</w:t>
            </w:r>
          </w:p>
        </w:tc>
        <w:tc>
          <w:tcPr>
            <w:tcW w:type="dxa" w:w="179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1D 상위</w:t>
            </w:r>
          </w:p>
        </w:tc>
        <w:tc>
          <w:tcPr>
            <w:tcW w:type="dxa" w:w="179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1D 하위</w:t>
            </w:r>
          </w:p>
        </w:tc>
        <w:tc>
          <w:tcPr>
            <w:tcW w:type="dxa" w:w="179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3M 상위</w:t>
            </w:r>
          </w:p>
        </w:tc>
        <w:tc>
          <w:tcPr>
            <w:tcW w:type="dxa" w:w="179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3M 하위</w:t>
            </w:r>
          </w:p>
        </w:tc>
      </w:tr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AI 소프트웨어·데이터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WDAY +0.0%, APP -0.0%, INTU -0.0%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PLTR -0.5%, DDOG -0.5%, NOW -0.4%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WDAY +3.7%, CRM +3.0%, PLTR +1.4%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APP -5.4%, DDOG -2.3%, ACN -0.0%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AI 연산·메모리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NVDA +0.6%, MU +0.1%, MPWR +0.1%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MRVL -0.4%, AMD -0.1%, AVGO -0.0%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NVDA +0.2%, MU -1.6%, AMD -1.8%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MRVL -4.2%, MPWR -3.4%, AVGO -3.3%</w:t>
            </w:r>
          </w:p>
        </w:tc>
      </w:tr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E&amp;C·설계·전기공사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EME -0.4%, FIX -0.4%, PWR -0.4%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PWR -0.4%, FIX -0.4%, EME -0.4%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EME -4.0%, PWR -4.8%, FIX -6.1%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FIX -6.1%, PWR -4.8%, EME -4.0%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네트워크·광통신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CSCO -0.1%, GLW -0.2%, LITE -0.3%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APH -0.5%, CIEN -0.4%, COHR -0.3%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APH +0.9%, ANET +0.9%, CSCO -2.1%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CIEN -6.3%, COHR -5.4%, GLW -4.1%</w:t>
            </w:r>
          </w:p>
        </w:tc>
      </w:tr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데이터센터 REIT·운영사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DLR -0.3%, EQIX -0.5%, IRM -0.8%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IRM -0.8%, EQIX -0.5%, DLR -0.3%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DLR -1.0%, EQIX -1.8%, IRM -4.4%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IRM -4.4%, EQIX -1.8%, DLR -1.0%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사이버보안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GEN +0.3%, AKAM -0.2%, FTNT -0.9%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PANW -1.6%, CRWD -0.9%, FTNT -0.9%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PANW +2.4%, GEN +2.2%, CRWD +1.4%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AKAM -6.9%, FTNT +0.8%, CRWD +1.4%</w:t>
            </w:r>
          </w:p>
        </w:tc>
      </w:tr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서버·스토리지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DELL +0.5%, JBL +0.0%, SNDK -0.0%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STX -0.3%, SMCI -0.3%, WDC -0.2%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NTAP +0.4%, DELL +0.2%, SNDK -1.2%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FLEX -3.7%, SMCI -3.2%, WDC -2.4%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엣지·Physical AI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NXPI +0.3%, ROK +0.2%, QCOM +0.2%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AXON -0.3%, TSLA -0.1%, AAPL -0.0%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AXON +0.4%, AAPL +0.4%, ROK -1.0%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ON -5.4%, QCOM -3.7%, NXPI -3.7%</w:t>
            </w:r>
          </w:p>
        </w:tc>
      </w:tr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전력 생산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VST +0.4%, CEG +0.0%, NRG +0.0%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NRG +0.0%, CEG +0.0%, VST +0.4%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CEG +1.0%, VST -3.9%, NRG -6.0%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NRG -6.0%, VST -3.9%, CEG +1.0%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전력·냉각 장비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HUBB +0.2%, ETN +0.1%, CARR +0.0%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JCI -0.1%, GEV -0.0%, TT +0.0%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JCI -0.4%, TT -0.6%, ETN -0.9%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VRT -3.3%, CARR -1.9%, GEV -1.1%</w:t>
            </w:r>
          </w:p>
        </w:tc>
      </w:tr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파운드리·반도체 장비·EDA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TER +0.4%, SNPS +0.0%, KLAC +0.0%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CDNS -0.3%, LRCX -0.2%, AMAT -0.2%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AMAT -1.8%, TER -2.1%, LRCX -2.4%</w:t>
            </w:r>
          </w:p>
        </w:tc>
        <w:tc>
          <w:tcPr>
            <w:tcW w:type="dxa" w:w="17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CDNS -4.3%, SNPS -3.0%, KLAC -2.7%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하이퍼스케일러·플랫폼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ORCL +0.5%, META +0.5%, GOOGL +0.0%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MSFT -0.1%, IBM -0.0%, AMZN +0.0%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MSFT +2.1%, AMZN -0.1%, META -0.1%</w:t>
            </w:r>
          </w:p>
        </w:tc>
        <w:tc>
          <w:tcPr>
            <w:tcW w:type="dxa" w:w="1790"/>
            <w:shd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5"/>
              </w:rPr>
              <w:t>ORCL -6.8%, IBM -5.0%, GOOGL -1.2%</w:t>
            </w:r>
          </w:p>
        </w:tc>
      </w:tr>
    </w:tbl>
    <w:p>
      <w:pPr>
        <w:spacing w:after="40"/>
      </w:pPr>
    </w:p>
    <w:p>
      <w:pPr>
        <w:pStyle w:val="Heading1"/>
      </w:pPr>
      <w:r>
        <w:t>6. 방법론·검산·리스크</w:t>
      </w:r>
    </w:p>
    <w:p>
      <w:pPr>
        <w:spacing w:after="120" w:line="264" w:lineRule="auto"/>
      </w:pPr>
      <w:r>
        <w:rPr>
          <w:rFonts w:ascii="Malgun Gothic" w:hAnsi="Malgun Gothic" w:eastAsia="Malgun Gothic"/>
          <w:b/>
          <w:i w:val="0"/>
          <w:color w:val="15803D"/>
          <w:sz w:val="22"/>
        </w:rPr>
        <w:t xml:space="preserve">[FACT] </w:t>
      </w:r>
      <w:r>
        <w:rPr>
          <w:rFonts w:ascii="Malgun Gothic" w:hAnsi="Malgun Gothic" w:eastAsia="Malgun Gothic"/>
          <w:b w:val="0"/>
          <w:i w:val="0"/>
          <w:color w:val="000000"/>
          <w:sz w:val="22"/>
        </w:rPr>
        <w:t>기준일은 SPX 구성종목 가격이 실제로 변한 마지막 유효 거래일 2026-09-02이며, 직전 거래일은 2026-09-01이다.</w:t>
      </w:r>
    </w:p>
    <w:p>
      <w:pPr>
        <w:spacing w:after="120" w:line="264" w:lineRule="auto"/>
      </w:pPr>
      <w:r>
        <w:rPr>
          <w:rFonts w:ascii="Malgun Gothic" w:hAnsi="Malgun Gothic" w:eastAsia="Malgun Gothic"/>
          <w:b/>
          <w:i w:val="0"/>
          <w:color w:val="15803D"/>
          <w:sz w:val="22"/>
        </w:rPr>
        <w:t xml:space="preserve">[FACT] </w:t>
      </w:r>
      <w:r>
        <w:rPr>
          <w:rFonts w:ascii="Malgun Gothic" w:hAnsi="Malgun Gothic" w:eastAsia="Malgun Gothic"/>
          <w:b w:val="0"/>
          <w:i w:val="0"/>
          <w:color w:val="000000"/>
          <w:sz w:val="22"/>
        </w:rPr>
        <w:t>월별 3개 구간 경계는 2026-06-02 / 2026-07-02 / 2026-07-31 / 2026-09-02이다. 단계 수익률은 매 거래일 유효 종목 수익률을 산술평균해 복리 연결했다.</w:t>
      </w:r>
    </w:p>
    <w:p>
      <w:pPr>
        <w:spacing w:after="120" w:line="264" w:lineRule="auto"/>
      </w:pPr>
      <w:r>
        <w:rPr>
          <w:rFonts w:ascii="Malgun Gothic" w:hAnsi="Malgun Gothic" w:eastAsia="Malgun Gothic"/>
          <w:b/>
          <w:i w:val="0"/>
          <w:color w:val="7A5A00"/>
          <w:sz w:val="22"/>
        </w:rPr>
        <w:t xml:space="preserve">[ASSUMPTION] </w:t>
      </w:r>
      <w:r>
        <w:rPr>
          <w:rFonts w:ascii="Malgun Gothic" w:hAnsi="Malgun Gothic" w:eastAsia="Malgun Gothic"/>
          <w:b w:val="0"/>
          <w:i w:val="0"/>
          <w:color w:val="000000"/>
          <w:sz w:val="22"/>
        </w:rPr>
        <w:t>분류 73개, 유효 73개, 결측 제외 0개, 중복 단계 배정 0개다. Adjacent 31개는 [ASSUMPTION]으로 표시했으며 종목별 단계는 하나만 허용했다.</w:t>
      </w:r>
    </w:p>
    <w:p>
      <w:pPr>
        <w:spacing w:after="120" w:line="264" w:lineRule="auto"/>
      </w:pPr>
      <w:r>
        <w:rPr>
          <w:rFonts w:ascii="Malgun Gothic" w:hAnsi="Malgun Gothic" w:eastAsia="Malgun Gothic"/>
          <w:b/>
          <w:i w:val="0"/>
          <w:color w:val="9B1C1C"/>
          <w:sz w:val="22"/>
        </w:rPr>
        <w:t xml:space="preserve">[RISK] </w:t>
      </w:r>
      <w:r>
        <w:rPr>
          <w:rFonts w:ascii="Malgun Gothic" w:hAnsi="Malgun Gothic" w:eastAsia="Malgun Gothic"/>
          <w:b w:val="0"/>
          <w:i w:val="0"/>
          <w:color w:val="000000"/>
          <w:sz w:val="22"/>
        </w:rPr>
        <w:t>현재 S&amp;P 500 구성종목을 과거로 소급하므로 생존편향·지수편입 변경 편향이 있다. 가격수익률이며 배당은 제외한다.</w:t>
      </w:r>
    </w:p>
    <w:p>
      <w:pPr>
        <w:spacing w:after="120" w:line="264" w:lineRule="auto"/>
      </w:pPr>
      <w:r>
        <w:rPr>
          <w:rFonts w:ascii="Malgun Gothic" w:hAnsi="Malgun Gothic" w:eastAsia="Malgun Gothic"/>
          <w:b/>
          <w:i w:val="0"/>
          <w:color w:val="9B1C1C"/>
          <w:sz w:val="22"/>
        </w:rPr>
        <w:t xml:space="preserve">[RISK] </w:t>
      </w:r>
      <w:r>
        <w:rPr>
          <w:rFonts w:ascii="Malgun Gothic" w:hAnsi="Malgun Gothic" w:eastAsia="Malgun Gothic"/>
          <w:b w:val="0"/>
          <w:i w:val="0"/>
          <w:color w:val="000000"/>
          <w:sz w:val="22"/>
        </w:rPr>
        <w:t>동일가중 결과는 밸류체인 폭을 보기 위한 진단치이며, 시가총액·베타·유동성 중립 포트폴리오 성과와 다를 수 있다.</w:t>
      </w:r>
    </w:p>
    <w:p>
      <w:pPr>
        <w:spacing w:after="120" w:line="264" w:lineRule="auto"/>
      </w:pPr>
      <w:r>
        <w:rPr>
          <w:rFonts w:ascii="Malgun Gothic" w:hAnsi="Malgun Gothic" w:eastAsia="Malgun Gothic"/>
          <w:b/>
          <w:i w:val="0"/>
          <w:color w:val="15803D"/>
          <w:sz w:val="22"/>
        </w:rPr>
        <w:t xml:space="preserve">[FACT] </w:t>
      </w:r>
      <w:r>
        <w:rPr>
          <w:rFonts w:ascii="Malgun Gothic" w:hAnsi="Malgun Gothic" w:eastAsia="Malgun Gothic"/>
          <w:b w:val="0"/>
          <w:i w:val="0"/>
          <w:color w:val="000000"/>
          <w:sz w:val="22"/>
        </w:rPr>
        <w:t>APH 2대1 주식분할은 2026-08-06 공식 발표와 2026-09-02 배부일을 대조했다. 최종 Master의 분할조정 가격 기준 1D는 -3.3%로 검산됐다.</w:t>
      </w:r>
    </w:p>
    <w:p>
      <w:pPr>
        <w:spacing w:after="120" w:line="264" w:lineRule="auto"/>
      </w:pPr>
      <w:r>
        <w:rPr>
          <w:rFonts w:ascii="Malgun Gothic" w:hAnsi="Malgun Gothic" w:eastAsia="Malgun Gothic"/>
          <w:b/>
          <w:i w:val="0"/>
          <w:color w:val="7A5A00"/>
          <w:sz w:val="22"/>
        </w:rPr>
        <w:t xml:space="preserve">[OPEN QUESTION] </w:t>
      </w:r>
      <w:r>
        <w:rPr>
          <w:rFonts w:ascii="Malgun Gothic" w:hAnsi="Malgun Gothic" w:eastAsia="Malgun Gothic"/>
          <w:b w:val="0"/>
          <w:i w:val="0"/>
          <w:color w:val="000000"/>
          <w:sz w:val="22"/>
        </w:rPr>
        <w:t>소프트웨어 당일 약세가 다음 실적 시즌까지 이어지는 추세인가, 아니면 최근 반등 이후 차익실현인가?</w:t>
      </w:r>
    </w:p>
    <w:p>
      <w:pPr>
        <w:spacing w:after="120" w:line="264" w:lineRule="auto"/>
      </w:pPr>
      <w:r>
        <w:rPr>
          <w:rFonts w:ascii="Malgun Gothic" w:hAnsi="Malgun Gothic" w:eastAsia="Malgun Gothic"/>
          <w:b/>
          <w:i w:val="0"/>
          <w:color w:val="7A5A00"/>
          <w:sz w:val="22"/>
        </w:rPr>
        <w:t xml:space="preserve">[OPEN QUESTION] </w:t>
      </w:r>
      <w:r>
        <w:rPr>
          <w:rFonts w:ascii="Malgun Gothic" w:hAnsi="Malgun Gothic" w:eastAsia="Malgun Gothic"/>
          <w:b w:val="0"/>
          <w:i w:val="0"/>
          <w:color w:val="000000"/>
          <w:sz w:val="22"/>
        </w:rPr>
        <w:t>PANW 실적 후 하락이 가이던스·마진·인수통합 중 어느 요인에 가장 민감했는가?</w:t>
      </w:r>
    </w:p>
    <w:p>
      <w:pPr>
        <w:pStyle w:val="Heading1"/>
      </w:pPr>
      <w:r>
        <w:t>7. 출처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6160"/>
      </w:tblGrid>
      <w:tr>
        <w:trPr>
          <w:tblHeader w:val="true"/>
        </w:trPr>
        <w:tc>
          <w:tcPr>
            <w:tcW w:type="dxa" w:w="17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출처</w:t>
            </w:r>
          </w:p>
        </w:tc>
        <w:tc>
          <w:tcPr>
            <w:tcW w:type="dxa" w:w="150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발표일/기준일</w:t>
            </w:r>
          </w:p>
        </w:tc>
        <w:tc>
          <w:tcPr>
            <w:tcW w:type="dxa" w:w="6160"/>
            <w:shd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URL 또는 로컬 경로</w:t>
            </w:r>
          </w:p>
        </w:tc>
      </w:tr>
      <w:tr>
        <w:tc>
          <w:tcPr>
            <w:tcW w:type="dxa" w:w="170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가격·구성</w:t>
            </w:r>
          </w:p>
        </w:tc>
        <w:tc>
          <w:tcPr>
            <w:tcW w:type="dxa" w:w="150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2026-09-02</w:t>
            </w:r>
          </w:p>
        </w:tc>
        <w:tc>
          <w:tcPr>
            <w:tcW w:type="dxa" w:w="616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C:\Users\infomax\Documents\python\BQL\Rawfile\BQuant_Master.xlsx</w:t>
            </w:r>
          </w:p>
        </w:tc>
      </w:tr>
      <w:tr>
        <w:tc>
          <w:tcPr>
            <w:tcW w:type="dxa" w:w="1700"/>
            <w:shd w:fill="FAFBFC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밸류체인 분류</w:t>
            </w:r>
          </w:p>
        </w:tc>
        <w:tc>
          <w:tcPr>
            <w:tcW w:type="dxa" w:w="1500"/>
            <w:shd w:fill="FAFBFC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2026-09-02</w:t>
            </w:r>
          </w:p>
        </w:tc>
        <w:tc>
          <w:tcPr>
            <w:tcW w:type="dxa" w:w="6160"/>
            <w:shd w:fill="FAFBFC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C:\Users\infomax\Documents\python\BQL\Theme\AI\build_sp500_ai_value_chain.py</w:t>
            </w:r>
          </w:p>
        </w:tc>
      </w:tr>
      <w:tr>
        <w:tc>
          <w:tcPr>
            <w:tcW w:type="dxa" w:w="170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Dell IR</w:t>
            </w:r>
          </w:p>
        </w:tc>
        <w:tc>
          <w:tcPr>
            <w:tcW w:type="dxa" w:w="150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2026-09-01</w:t>
            </w:r>
          </w:p>
        </w:tc>
        <w:tc>
          <w:tcPr>
            <w:tcW w:type="dxa" w:w="616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https://investors.delltechnologies.com/</w:t>
            </w:r>
          </w:p>
        </w:tc>
      </w:tr>
      <w:tr>
        <w:tc>
          <w:tcPr>
            <w:tcW w:type="dxa" w:w="1700"/>
            <w:shd w:fill="FAFBFC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Palo Alto Networks IR</w:t>
            </w:r>
          </w:p>
        </w:tc>
        <w:tc>
          <w:tcPr>
            <w:tcW w:type="dxa" w:w="1500"/>
            <w:shd w:fill="FAFBFC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2026-09-01</w:t>
            </w:r>
          </w:p>
        </w:tc>
        <w:tc>
          <w:tcPr>
            <w:tcW w:type="dxa" w:w="6160"/>
            <w:shd w:fill="FAFBFC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https://investors.paloaltonetworks.com/news-releases/news-release-details/palo-alto-networks-reports-fiscal-fourth-quarter-and-fiscal-10</w:t>
            </w:r>
          </w:p>
        </w:tc>
      </w:tr>
      <w:tr>
        <w:tc>
          <w:tcPr>
            <w:tcW w:type="dxa" w:w="170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NVIDIA IR</w:t>
            </w:r>
          </w:p>
        </w:tc>
        <w:tc>
          <w:tcPr>
            <w:tcW w:type="dxa" w:w="150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2026-08-26</w:t>
            </w:r>
          </w:p>
        </w:tc>
        <w:tc>
          <w:tcPr>
            <w:tcW w:type="dxa" w:w="616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https://investor.nvidia.com/news/press-release-details/2026/NVIDIA-Announces-Financial-Results-for-Second-Quarter-Fiscal-2027/default.aspx</w:t>
            </w:r>
          </w:p>
        </w:tc>
      </w:tr>
      <w:tr>
        <w:tc>
          <w:tcPr>
            <w:tcW w:type="dxa" w:w="1700"/>
            <w:shd w:fill="FAFBFC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Amphenol IR</w:t>
            </w:r>
          </w:p>
        </w:tc>
        <w:tc>
          <w:tcPr>
            <w:tcW w:type="dxa" w:w="1500"/>
            <w:shd w:fill="FAFBFC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2026-08-06</w:t>
            </w:r>
          </w:p>
        </w:tc>
        <w:tc>
          <w:tcPr>
            <w:tcW w:type="dxa" w:w="6160"/>
            <w:shd w:fill="FAFBFC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https://investors.amphenol.com/news-and-events/news-details/2026/Amphenol-Announces-Two-for-One-Stock-Split-and-Third-Quarter-2026-Dividend/default.aspx</w:t>
            </w:r>
          </w:p>
        </w:tc>
      </w:tr>
      <w:tr>
        <w:tc>
          <w:tcPr>
            <w:tcW w:type="dxa" w:w="170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Palantir IR</w:t>
            </w:r>
          </w:p>
        </w:tc>
        <w:tc>
          <w:tcPr>
            <w:tcW w:type="dxa" w:w="150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2026-08-03</w:t>
            </w:r>
          </w:p>
        </w:tc>
        <w:tc>
          <w:tcPr>
            <w:tcW w:type="dxa" w:w="616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https://investors.palantir.com/news-details/2026/Palantir-Reports-</w:t>
            </w:r>
          </w:p>
        </w:tc>
      </w:tr>
      <w:tr>
        <w:tc>
          <w:tcPr>
            <w:tcW w:type="dxa" w:w="1700"/>
            <w:shd w:fill="FAFBFC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Datadog IR</w:t>
            </w:r>
          </w:p>
        </w:tc>
        <w:tc>
          <w:tcPr>
            <w:tcW w:type="dxa" w:w="1500"/>
            <w:shd w:fill="FAFBFC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2026-08-06</w:t>
            </w:r>
          </w:p>
        </w:tc>
        <w:tc>
          <w:tcPr>
            <w:tcW w:type="dxa" w:w="6160"/>
            <w:shd w:fill="FAFBFC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>
            <w:pPr>
              <w:spacing w:after="0" w:line="216" w:lineRule="auto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3"/>
              </w:rPr>
              <w:t>https://investors.datadoghq.com/news-releases/news-release-details/datadog-announces-second-quarter-2026-financial-results/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i w:val="0"/>
        <w:color w:val="666666"/>
        <w:sz w:val="16"/>
      </w:rPr>
      <w:t xml:space="preserve">기준일 2026-09-02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b w:val="0"/>
        <w:i w:val="0"/>
        <w:color w:val="666666"/>
        <w:sz w:val="16"/>
      </w:rPr>
      <w:t>기관투자가용 | 미국 AI 밸류체인 일간 로테이션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미국 AI 밸류체인 일간 로테이션 보고서</dc:title>
  <dc:subject>S&amp;P 500 AI value-chain equal-weight rotation</dc:subject>
  <dc:creator>OpenAI Codex</dc:creator>
  <cp:keywords/>
  <dc:description>standard_business_brief preset; Korean font override: Malgun Gothic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