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38"/>
          <w:szCs w:val="38"/>
        </w:rPr>
        <w:t xml:space="preserve">미국 AI 밸류체인</w:t>
      </w:r>
    </w:p>
    <w:p>
      <w:pPr>
        <w:spacing w:after="19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30"/>
          <w:szCs w:val="30"/>
        </w:rPr>
        <w:t xml:space="preserve">최근 3개월 로테이션 및 최근 1거래일 분석</w:t>
      </w:r>
    </w:p>
    <w:p>
      <w:pPr>
        <w:keepNext w:val="false"/>
        <w:spacing w:after="90" w:before="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기준일 2026-09-02 · 73종목 · 12개 밸류체인</w:t>
      </w:r>
    </w:p>
    <w:p>
      <w:pPr>
        <w:keepNext w:val="false"/>
        <w:spacing w:after="90" w:before="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S&amp;P 500 현행 구성종목 내 Expanded(Core + Adjacent) 분류 · 동일가중 일별 리밸런싱</w:t>
      </w:r>
    </w:p>
    <w:p>
      <w:pPr>
        <w:keepNext w:val="false"/>
        <w:spacing w:after="90" w:before="70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최신 BQuant 원자료를 자동 병합한 뒤 기업행위 연속성 검사를 거쳐 계산했다.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테마 분류와 동일가중 지수는 분석용 프록시이며 거래가능 지수·ETF의 공식 수익률이 아니다.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Executive Summary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3개월(2026-06-02→2026-09-02) 동안 12개 밸류체인 중 플러스는 1개뿐이다. AI 소프트웨어·데이터가 +2.2%로 유일한 플러스였고, 네트워크·광통신가 -18.4%로 최하위였다. [M1]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같은 구간 S&amp;P 500 구성종목 시총가중 프록시는 +0.2%, NASDAQ 100 프록시는 -4.1%였다. 따라서 AI 소프트웨어·데이터의 상대수익률은 각각 +2.0%p, +6.3%p다.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최근 1일에는 12개 중 5개가 상승했다. 하드웨어·전력 일부가 소폭 반등했지만 사이버보안 -3.2%, 네트워크·광통신 -2.0%, AI 소프트웨어·데이터 -1.8%는 약했다.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3개월 흐름은 “AI 전체의 동반 상승”이 아니라 소프트웨어·데이터의 회복과 하드웨어/인프라 체인의 디레이팅이 병존한 내부 로테이션이다. 최근 1일의 일부 하드웨어 반등은 추세 전환을 확정하기에 규모와 breadth가 아직 작다.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S&amp;P 500과 NASDAQ 100 비교치는 ETF(SPY·QQQ)가 아니라 현재 구성종목 시총가중 가격수익률 프록시다. 배당·자유유통비율·지수 캡을 포함한 공식 지수와 차이가 날 수 있다.</w:t>
      </w:r>
    </w:p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AI 밸류체인 3M 수익률 순위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S&amp;P 500 및 NASDAQ 100 프록시 기준선을 함께 표시</w:t>
      </w:r>
    </w:p>
    <w:p>
      <w:pPr>
        <w:pStyle w:val="Heading1"/>
        <w:keepNext/>
        <w:spacing w:after="90" w:before="180"/>
      </w:pPr>
      <w:r>
        <w:t xml:space="preserve">핵심 결론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AI 소프트웨어·데이터는 첫 달 -14.3% 이후 두 번째 달 +6.0%, 세 번째 달 +12.4%로 회복해 3개월 +2.2%를 기록했다. [M1]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네트워크·광통신, 엣지·Physical AI, AI 컴퓨팅·메모리, 파운드리·반도체 장비·EDA는 모두 3개월 두 자릿수 하락했다. [M1]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시장은 AI CAPEX 총액 자체보다 매출 전환 속도, 주문의 지속성, 고객 집중도, 높은 사전 기대를 차별화하고 있다. 소프트웨어의 회복은 상용화 신호에, 하드웨어의 약세는 기대 선반영과 공급망별 병목 완화 우려에 민감하다.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9C6500"/>
          <w:sz w:val="18"/>
          <w:szCs w:val="18"/>
        </w:rPr>
        <w:t xml:space="preserve">[OPEN QUESTION] 향후 4주에 하드웨어 체인의 breadth가 50%를 넘고, 3개월 상대수익률 저점이 높아지는지 확인해야 순환적 반등을 구조적 리더십 변화로 판단할 수 있다.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Methodology &amp; Classification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분석 기간은 3개월 2026-06-02→2026-09-02, 최근 1일 2026-09-01→2026-09-02다. 월별 경계는 2026-06-02 / 2026-07-02 / 2026-07-31 / 2026-09-02다.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각 체인은 구성종목의 일별 가격수익률을 동일가중해 매일 리밸런싱한 분석 지수다. 3M MDD는 체인 누적지수의 고점 대비 최대 하락률이다.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breadth는 해당 체인에서 당일 상승한 유효 종목 수를 전체 유효 종목 수로 나눈 비율이다.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[ASSUMPTION] Expanded 분류는 직접 AI 매출 노출(Core)과 전력·냉각·E&amp;C·데이터센터 등 인접 인프라(Adjacent)를 함께 포함한다. 한 종목은 주된 경제적 노출 한 곳에만 배정했다.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최근 구성종목을 과거 3개월에 소급한 current-constituent 방식이므로 생존편향이 있다. 분류 경계가 다른 투자자의 정의와 다를 수 있다.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APH는 2대1 주식분할 때문에 조정·비조정 가격이 섞인 구간을 보고서 계산용 복사본에서 정규화했다. 원본 파일은 변경하지 않았다. [S6]</w:t>
      </w:r>
    </w:p>
    <w:tbl>
      <w:tblPr>
        <w:tblW w:type="dxa" w:w="836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2100"/>
        <w:gridCol w:w="720"/>
        <w:gridCol w:w="800"/>
        <w:gridCol w:w="800"/>
        <w:gridCol w:w="800"/>
        <w:gridCol w:w="800"/>
        <w:gridCol w:w="800"/>
        <w:gridCol w:w="820"/>
        <w:gridCol w:w="720"/>
      </w:tblGrid>
      <w:tr>
        <w:trPr>
          <w:tblHeader/>
        </w:trPr>
        <w:tc>
          <w:tcPr>
            <w:tcW w:type="dxa" w:w="21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밸류체인</w:t>
            </w:r>
          </w:p>
        </w:tc>
        <w:tc>
          <w:tcPr>
            <w:tcW w:type="dxa" w:w="72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종목수</w:t>
            </w:r>
          </w:p>
        </w:tc>
        <w:tc>
          <w:tcPr>
            <w:tcW w:type="dxa" w:w="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월1</w:t>
            </w:r>
          </w:p>
        </w:tc>
        <w:tc>
          <w:tcPr>
            <w:tcW w:type="dxa" w:w="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월2</w:t>
            </w:r>
          </w:p>
        </w:tc>
        <w:tc>
          <w:tcPr>
            <w:tcW w:type="dxa" w:w="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월3</w:t>
            </w:r>
          </w:p>
        </w:tc>
        <w:tc>
          <w:tcPr>
            <w:tcW w:type="dxa" w:w="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3M</w:t>
            </w:r>
          </w:p>
        </w:tc>
        <w:tc>
          <w:tcPr>
            <w:tcW w:type="dxa" w:w="82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3M MDD</w:t>
            </w:r>
          </w:p>
        </w:tc>
        <w:tc>
          <w:tcPr>
            <w:tcW w:type="dxa" w:w="72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 breadth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AI 소프트웨어·데이터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-1.8%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-14.3%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+6.0%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+12.4%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+2.2%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-25.6%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+11.1%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사이버보안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-3.2%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-2.8%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+0.9%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+1.6%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-0.4%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-12.7%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+20.0%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데이터센터 REIT·운영사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-1.5%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-7.5%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+5.0%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-4.3%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-7.1%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-11.3%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+0.0%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전력·냉각 장비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+0.2%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+1.6%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-5.9%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-4.2%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-8.4%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-17.4%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+71.4%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전력 생산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+0.4%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-4.8%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+2.0%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-6.1%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-8.8%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-14.3%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+100.0%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하이퍼스케일러·플랫폼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+0.9%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-13.4%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-0.5%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+3.0%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-11.2%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-21.8%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+66.7%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서버·스토리지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-0.7%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-14.1%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-1.1%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+3.3%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-12.2%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-25.0%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+22.2%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파운드리·반도체 장비·EDA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-0.2%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+2.5%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-12.1%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-5.1%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-14.5%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-31.6%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+50.0%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E&amp;C·설계·전기공사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-1.1%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-6.3%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+0.8%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-9.7%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-14.7%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-24.3%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+0.0%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AI 연산·메모리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+0.4%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-10.0%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-7.6%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+2.1%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-15.1%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-27.2%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+57.1%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엣지·Physical AI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+0.6%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-8.6%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-9.3%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+0.9%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-16.4%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-17.9%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+62.5%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네트워크·광통신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-2.0%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-13.8%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-7.5%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+2.4%</w:t>
            </w:r>
          </w:p>
        </w:tc>
        <w:tc>
          <w:tcPr>
            <w:tcW w:type="dxa" w:w="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-18.4%</w:t>
            </w:r>
          </w:p>
        </w:tc>
        <w:tc>
          <w:tcPr>
            <w:tcW w:type="dxa" w:w="8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-29.1%</w:t>
            </w:r>
          </w:p>
        </w:tc>
        <w:tc>
          <w:tcPr>
            <w:tcW w:type="dxa" w:w="7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+0.0%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180"/>
      </w:pPr>
      <w:r>
        <w:t xml:space="preserve">3개월 강도 순위</w:t>
      </w:r>
    </w:p>
    <w:tbl>
      <w:tblPr>
        <w:tblW w:type="dxa" w:w="647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620"/>
        <w:gridCol w:w="2800"/>
        <w:gridCol w:w="1050"/>
        <w:gridCol w:w="1000"/>
        <w:gridCol w:w="1000"/>
      </w:tblGrid>
      <w:tr>
        <w:trPr>
          <w:tblHeader/>
        </w:trPr>
        <w:tc>
          <w:tcPr>
            <w:tcW w:type="dxa" w:w="62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2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밸류체인</w:t>
            </w:r>
          </w:p>
        </w:tc>
        <w:tc>
          <w:tcPr>
            <w:tcW w:type="dxa" w:w="105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3M 수익률</w:t>
            </w:r>
          </w:p>
        </w:tc>
        <w:tc>
          <w:tcPr>
            <w:tcW w:type="dxa" w:w="10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 breadth</w:t>
            </w:r>
          </w:p>
        </w:tc>
        <w:tc>
          <w:tcPr>
            <w:tcW w:type="dxa" w:w="10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3M MDD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AI 소프트웨어·데이터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+2.2%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+11.1%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-25.6%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사이버보안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-0.4%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-12.7%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데이터센터 REIT·운영사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-7.1%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-11.3%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전력·냉각 장비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-8.4%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+71.4%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-17.4%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전력 생산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-8.8%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+100.0%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-14.3%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하이퍼스케일러·플랫폼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-11.2%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+66.7%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-21.8%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서버·스토리지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-12.2%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+22.2%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-25.0%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파운드리·반도체 장비·EDA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-14.5%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+50.0%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-31.6%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E&amp;C·설계·전기공사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-14.7%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-24.3%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AI 연산·메모리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-15.1%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+57.1%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-27.2%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엣지·Physical AI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-16.4%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+62.5%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-17.9%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네트워크·광통신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-18.4%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-29.1%</w:t>
            </w:r>
          </w:p>
        </w:tc>
      </w:tr>
    </w:tbl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3개월 체인별 수익률·MDD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수익률 내림차순, MDD를 보조 마커로 표시</w:t>
      </w:r>
    </w:p>
    <w:p>
      <w:pPr>
        <w:pStyle w:val="Heading1"/>
        <w:keepNext/>
        <w:spacing w:after="90" w:before="180"/>
      </w:pPr>
      <w:r>
        <w:t xml:space="preserve">최근 1일 강도 순위</w:t>
      </w:r>
    </w:p>
    <w:tbl>
      <w:tblPr>
        <w:tblW w:type="dxa" w:w="647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620"/>
        <w:gridCol w:w="2800"/>
        <w:gridCol w:w="1050"/>
        <w:gridCol w:w="1000"/>
        <w:gridCol w:w="1000"/>
      </w:tblGrid>
      <w:tr>
        <w:trPr>
          <w:tblHeader/>
        </w:trPr>
        <w:tc>
          <w:tcPr>
            <w:tcW w:type="dxa" w:w="62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28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밸류체인</w:t>
            </w:r>
          </w:p>
        </w:tc>
        <w:tc>
          <w:tcPr>
            <w:tcW w:type="dxa" w:w="105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 수익률</w:t>
            </w:r>
          </w:p>
        </w:tc>
        <w:tc>
          <w:tcPr>
            <w:tcW w:type="dxa" w:w="10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 breadth</w:t>
            </w:r>
          </w:p>
        </w:tc>
        <w:tc>
          <w:tcPr>
            <w:tcW w:type="dxa" w:w="10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3M MDD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하이퍼스케일러·플랫폼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+0.9%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+66.7%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-21.8%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엣지·Physical AI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+0.6%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+62.5%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-17.9%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전력 생산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+0.4%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+100.0%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-14.3%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AI 연산·메모리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+0.4%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+57.1%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-27.2%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전력·냉각 장비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4"/>
                <w:szCs w:val="14"/>
              </w:rPr>
              <w:t xml:space="preserve">+0.2%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+71.4%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-17.4%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파운드리·반도체 장비·EDA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-0.2%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+50.0%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-31.6%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서버·스토리지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-0.7%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+22.2%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-25.0%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E&amp;C·설계·전기공사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-1.1%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-24.3%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데이터센터 REIT·운영사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-1.5%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-11.3%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AI 소프트웨어·데이터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-1.8%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+11.1%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-25.6%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네트워크·광통신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-2.0%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-29.1%</w:t>
            </w:r>
          </w:p>
        </w:tc>
      </w:tr>
      <w:tr>
        <w:tc>
          <w:tcPr>
            <w:tcW w:type="dxa" w:w="62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28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사이버보안</w:t>
            </w:r>
          </w:p>
        </w:tc>
        <w:tc>
          <w:tcPr>
            <w:tcW w:type="dxa" w:w="105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4"/>
                <w:szCs w:val="14"/>
              </w:rPr>
              <w:t xml:space="preserve">-3.2%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+20.0%</w:t>
            </w:r>
          </w:p>
        </w:tc>
        <w:tc>
          <w:tcPr>
            <w:tcW w:type="dxa" w:w="10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-12.7%</w:t>
            </w:r>
          </w:p>
        </w:tc>
      </w:tr>
    </w:tbl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1일 상승 체인이 다수더라도 3개월 누적 하락을 되돌리기에는 폭이 작다. 당일 신호는 방향 전환의 초기 후보로만 취급하고, breadth와 4주 상대강도의 후속 확인이 필요하다.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월별 로테이션</w:t>
      </w:r>
    </w:p>
    <w:tbl>
      <w:tblPr>
        <w:tblW w:type="dxa" w:w="660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21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1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밸류체인</w:t>
            </w:r>
          </w:p>
        </w:tc>
        <w:tc>
          <w:tcPr>
            <w:tcW w:type="dxa" w:w="9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월1</w:t>
            </w:r>
          </w:p>
        </w:tc>
        <w:tc>
          <w:tcPr>
            <w:tcW w:type="dxa" w:w="9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월2</w:t>
            </w:r>
          </w:p>
        </w:tc>
        <w:tc>
          <w:tcPr>
            <w:tcW w:type="dxa" w:w="9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월3</w:t>
            </w:r>
          </w:p>
        </w:tc>
        <w:tc>
          <w:tcPr>
            <w:tcW w:type="dxa" w:w="9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3M</w:t>
            </w:r>
          </w:p>
        </w:tc>
        <w:tc>
          <w:tcPr>
            <w:tcW w:type="dxa" w:w="9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월별 패턴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AI 소프트웨어·데이터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-14.3%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+6.0%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+12.4%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+2.2%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저점 후 회복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사이버보안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-2.8%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+0.9%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+1.6%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-0.4%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저점 후 회복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데이터센터 REIT·운영사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-7.5%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+5.0%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-4.3%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-7.1%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혼조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전력·냉각 장비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+1.6%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-5.9%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-4.2%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-8.4%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초기 강세 소멸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전력 생산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-4.8%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+2.0%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-6.1%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-8.8%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혼조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하이퍼스케일러·플랫폼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-13.4%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-0.5%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+3.0%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-11.2%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최근 반등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서버·스토리지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-14.1%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-1.1%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+3.3%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-12.2%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최근 반등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파운드리·반도체 장비·EDA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+2.5%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-12.1%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-5.1%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-14.5%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초기 강세 소멸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E&amp;C·설계·전기공사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-6.3%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+0.8%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-9.7%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-14.7%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혼조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AI 연산·메모리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-10.0%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-7.6%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+2.1%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-15.1%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최근 반등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엣지·Physical AI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-8.6%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-9.3%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+0.9%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-16.4%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최근 반등</w:t>
            </w:r>
          </w:p>
        </w:tc>
      </w:tr>
      <w:tr>
        <w:tc>
          <w:tcPr>
            <w:tcW w:type="dxa" w:w="21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네트워크·광통신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-13.8%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-7.5%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+2.4%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-18.4%</w:t>
            </w:r>
          </w:p>
        </w:tc>
        <w:tc>
          <w:tcPr>
            <w:tcW w:type="dxa" w:w="9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최근 반등</w:t>
            </w:r>
          </w:p>
        </w:tc>
      </w:tr>
    </w:tbl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가장 중요한 변화는 소프트웨어·데이터가 첫 달 급락을 완전히 복구했고, 반대로 장비·네트워크의 회복이 제한적이었다는 점이다. 하이퍼스케일러는 세 번째 달 +3.0%였지만 3개월 누적 -11.2%로 아직 중립 이하의 흐름이다.</w:t>
      </w:r>
    </w:p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월1·월2·월3 체인별 히트맵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행=밸류체인, 열=월 구간, 동일 색상축 사용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밸류체인별 상세</w:t>
      </w:r>
    </w:p>
    <w:p>
      <w:pPr>
        <w:pStyle w:val="Heading2"/>
        <w:keepNext/>
        <w:spacing w:after="90" w:before="180"/>
      </w:pPr>
      <w:r>
        <w:t xml:space="preserve">AI 소프트웨어·데이터 · 9종목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-1.8%, 3M +2.2%, 3M MDD -25.6%, 1D 상승 breadth +11.1%.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WDAY +0.0%p / APP -0.0%p / INTU -0.0%p. 1D 하위 기여: PLTR -0.5%p / DDOG -0.5%p / NOW -0.4%p.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WDAY +3.7%p / CRM +3.0%p / PLTR +1.4%p. 3M 하위 기여: APP -5.4%p / DDOG -2.3%p / ACN -0.0%p.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PLTR, NOW, CRM, ADBE, APP, INTU, WDAY, DDOG, ACN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3개월 리더지만 최근 1일은 차익실현 성격이 나타났다.</w:t>
      </w:r>
    </w:p>
    <w:p>
      <w:pPr>
        <w:pStyle w:val="Heading2"/>
        <w:keepNext/>
        <w:spacing w:after="90" w:before="180"/>
      </w:pPr>
      <w:r>
        <w:t xml:space="preserve">사이버보안 · 5종목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-3.2%, 3M -0.4%, 3M MDD -12.7%, 1D 상승 breadth +20.0%.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GEN +0.3%p / AKAM -0.2%p / FTNT -0.9%p. 1D 하위 기여: PANW -1.6%p / CRWD -0.9%p / FTNT -0.9%p.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PANW +2.4%p / GEN +2.2%p / CRWD +1.4%p. 3M 하위 기여: AKAM -6.9%p / FTNT +0.8%p / CRWD +1.4%p.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CRWD, PANW, FTNT, AKAM, GEN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중기 약세가 최근 1일에도 이어져 상대강도 회복 신호가 부족하다.</w:t>
      </w:r>
    </w:p>
    <w:p>
      <w:pPr>
        <w:pStyle w:val="Heading2"/>
        <w:keepNext/>
        <w:spacing w:after="90" w:before="180"/>
      </w:pPr>
      <w:r>
        <w:t xml:space="preserve">데이터센터 REIT·운영사 · 3종목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-1.5%, 3M -7.1%, 3M MDD -11.3%, 1D 상승 breadth +0.0%.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DLR -0.3%p / EQIX -0.5%p / IRM -0.8%p. 1D 하위 기여: IRM -0.8%p / EQIX -0.5%p / DLR -0.3%p.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DLR -1.0%p / EQIX -1.8%p / IRM -4.4%p. 3M 하위 기여: IRM -4.4%p / EQIX -1.8%p / DLR -1.0%p.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DLR, EQIX, IRM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중기 약세가 최근 1일에도 이어져 상대강도 회복 신호가 부족하다.</w:t>
      </w:r>
    </w:p>
    <w:p>
      <w:pPr>
        <w:pStyle w:val="Heading2"/>
        <w:keepNext/>
        <w:spacing w:after="90" w:before="180"/>
      </w:pPr>
      <w:r>
        <w:t xml:space="preserve">전력·냉각 장비 · 7종목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+0.2%, 3M -8.4%, 3M MDD -17.4%, 1D 상승 breadth +71.4%.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HUBB +0.2%p / ETN +0.1%p / CARR +0.0%p. 1D 하위 기여: JCI -0.1%p / GEV -0.0%p / TT +0.0%p.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JCI -0.4%p / TT -0.6%p / ETN -0.9%p. 3M 하위 기여: VRT -3.3%p / CARR -1.9%p / GEV -1.1%p.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VRT, ETN, GEV, HUBB, TT, JCI, CARR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3개월 약세 속 기술적 반등 후보지만 추세 전환 확인이 필요하다.</w:t>
      </w:r>
    </w:p>
    <w:p>
      <w:pPr>
        <w:pStyle w:val="Heading2"/>
        <w:keepNext/>
        <w:spacing w:after="90" w:before="180"/>
      </w:pPr>
      <w:r>
        <w:t xml:space="preserve">전력 생산 · 3종목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+0.4%, 3M -8.8%, 3M MDD -14.3%, 1D 상승 breadth +100.0%.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VST +0.4%p / CEG +0.0%p / NRG +0.0%p. 1D 하위 기여: NRG +0.0%p / CEG +0.0%p / VST +0.4%p.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CEG +1.0%p / VST -3.9%p / NRG -6.0%p. 3M 하위 기여: NRG -6.0%p / VST -3.9%p / CEG +1.0%p.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CEG, VST, NRG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3개월 약세 속 기술적 반등 후보지만 추세 전환 확인이 필요하다.</w:t>
      </w:r>
    </w:p>
    <w:p>
      <w:pPr>
        <w:pStyle w:val="Heading2"/>
        <w:keepNext/>
        <w:spacing w:after="90" w:before="180"/>
      </w:pPr>
      <w:r>
        <w:t xml:space="preserve">하이퍼스케일러·플랫폼 · 6종목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+0.9%, 3M -11.2%, 3M MDD -21.8%, 1D 상승 breadth +66.7%.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ORCL +0.5%p / META +0.5%p / GOOGL +0.0%p. 1D 하위 기여: MSFT -0.1%p / IBM -0.0%p / AMZN +0.0%p.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MSFT +2.1%p / AMZN -0.1%p / META -0.1%p. 3M 하위 기여: ORCL -6.8%p / IBM -5.0%p / GOOGL -1.2%p.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MSFT, AMZN, GOOGL, META, ORCL, IBM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3개월 약세 속 기술적 반등 후보지만 추세 전환 확인이 필요하다.</w:t>
      </w:r>
    </w:p>
    <w:p>
      <w:pPr>
        <w:pStyle w:val="Heading2"/>
        <w:keepNext/>
        <w:spacing w:after="90" w:before="180"/>
      </w:pPr>
      <w:r>
        <w:t xml:space="preserve">서버·스토리지 · 9종목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-0.7%, 3M -12.2%, 3M MDD -25.0%, 1D 상승 breadth +22.2%.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DELL +0.5%p / JBL +0.0%p / SNDK -0.0%p. 1D 하위 기여: STX -0.3%p / SMCI -0.3%p / WDC -0.2%p.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NTAP +0.4%p / DELL +0.2%p / SNDK -1.2%p. 3M 하위 기여: FLEX -3.7%p / SMCI -3.2%p / WDC -2.4%p.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DELL, HPE, SMCI, FLEX, JBL, NTAP, STX, WDC, SNDK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중기 약세가 최근 1일에도 이어져 상대강도 회복 신호가 부족하다.</w:t>
      </w:r>
    </w:p>
    <w:p>
      <w:pPr>
        <w:pStyle w:val="Heading2"/>
        <w:keepNext/>
        <w:spacing w:after="90" w:before="180"/>
      </w:pPr>
      <w:r>
        <w:t xml:space="preserve">파운드리·반도체 장비·EDA · 6종목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-0.2%, 3M -14.5%, 3M MDD -31.6%, 1D 상승 breadth +50.0%.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TER +0.4%p / SNPS +0.0%p / KLAC +0.0%p. 1D 하위 기여: CDNS -0.3%p / LRCX -0.2%p / AMAT -0.2%p.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AMAT -1.8%p / TER -2.1%p / LRCX -2.4%p. 3M 하위 기여: CDNS -4.3%p / SNPS -3.0%p / KLAC -2.7%p.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AMAT, LRCX, KLAC, CDNS, SNPS, TER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중기 약세가 최근 1일에도 이어져 상대강도 회복 신호가 부족하다.</w:t>
      </w:r>
    </w:p>
    <w:p>
      <w:pPr>
        <w:pStyle w:val="Heading2"/>
        <w:keepNext/>
        <w:spacing w:after="90" w:before="180"/>
      </w:pPr>
      <w:r>
        <w:t xml:space="preserve">E&amp;C·설계·전기공사 · 3종목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-1.1%, 3M -14.7%, 3M MDD -24.3%, 1D 상승 breadth +0.0%.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EME -0.4%p / FIX -0.4%p / PWR -0.4%p. 1D 하위 기여: PWR -0.4%p / FIX -0.4%p / EME -0.4%p.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EME -4.0%p / PWR -4.8%p / FIX -6.1%p. 3M 하위 기여: FIX -6.1%p / PWR -4.8%p / EME -4.0%p.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PWR, FIX, EME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중기 약세가 최근 1일에도 이어져 상대강도 회복 신호가 부족하다.</w:t>
      </w:r>
    </w:p>
    <w:p>
      <w:pPr>
        <w:pStyle w:val="Heading2"/>
        <w:keepNext/>
        <w:spacing w:after="90" w:before="180"/>
      </w:pPr>
      <w:r>
        <w:t xml:space="preserve">AI 연산·메모리 · 7종목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+0.4%, 3M -15.1%, 3M MDD -27.2%, 1D 상승 breadth +57.1%.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NVDA +0.6%p / MU +0.1%p / MPWR +0.1%p. 1D 하위 기여: MRVL -0.4%p / AMD -0.1%p / AVGO -0.0%p.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NVDA +0.2%p / MU -1.6%p / AMD -1.8%p. 3M 하위 기여: MRVL -4.2%p / MPWR -3.4%p / AVGO -3.3%p.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NVDA, AMD, AVGO, MRVL, MU, INTC, MPWR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3개월 약세 속 기술적 반등 후보지만 추세 전환 확인이 필요하다.</w:t>
      </w:r>
    </w:p>
    <w:p>
      <w:pPr>
        <w:pStyle w:val="Heading2"/>
        <w:keepNext/>
        <w:spacing w:after="90" w:before="180"/>
      </w:pPr>
      <w:r>
        <w:t xml:space="preserve">엣지·Physical AI · 8종목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+0.6%, 3M -16.4%, 3M MDD -17.9%, 1D 상승 breadth +62.5%.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NXPI +0.3%p / ROK +0.2%p / QCOM +0.2%p. 1D 하위 기여: AXON -0.3%p / TSLA -0.1%p / AAPL -0.0%p.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AXON +0.4%p / AAPL +0.4%p / ROK -1.0%p. 3M 하위 기여: ON -5.4%p / QCOM -3.7%p / NXPI -3.7%p.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QCOM, TSLA, AXON, AAPL, NXPI, ADI, ON, ROK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3개월 약세 속 기술적 반등 후보지만 추세 전환 확인이 필요하다.</w:t>
      </w:r>
    </w:p>
    <w:p>
      <w:pPr>
        <w:pStyle w:val="Heading2"/>
        <w:keepNext/>
        <w:spacing w:after="90" w:before="180"/>
      </w:pPr>
      <w:r>
        <w:t xml:space="preserve">네트워크·광통신 · 7종목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-2.0%, 3M -18.4%, 3M MDD -29.1%, 1D 상승 breadth +0.0%.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상위 기여: CSCO -0.1%p / GLW -0.2%p / LITE -0.3%p. 1D 하위 기여: APH -0.5%p / CIEN -0.4%p / COHR -0.3%p.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3M 상위 기여: APH +0.9%p / ANET +0.9%p / CSCO -2.1%p. 3M 하위 기여: CIEN -6.3%p / COHR -5.4%p / GLW -4.1%p.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5"/>
          <w:szCs w:val="15"/>
        </w:rPr>
        <w:t xml:space="preserve">구성종목: ANET, CSCO, CIEN, COHR, LITE, GLW, APH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중기 약세가 최근 1일에도 이어져 상대강도 회복 신호가 부족하다.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펀더멘털 체크: 가격과 실적의 분리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Salesforce는 cRPO +14%(constant currency), 상향된 매출 가이던스와 Agentforce 성장 지표를 발표했다. [S2] [INFERENCE] 소프트웨어 체인의 3개월 회복은 단순 멀티플 반등만이 아니라 계약·상용화 지표 확인과 연결된다.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NVIDIA는 분기 매출 962억 달러(+106%), 데이터센터 매출 890억 달러(+117%)를 발표했다. [S3] [INFERENCE] 강한 실적에도 컴퓨팅·메모리 체인의 3개월 약세가 지속된 것은 절대 성장보다 사전 기대와 밸류에이션이 더 높았음을 시사한다.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Marvell은 매출 +37%, 데이터센터 +46%와 상향 가이던스를 발표했다. [S5] [INFERENCE] 10D 약세와 병존한다는 점에서 AI 하드웨어는 beat 자체보다 주문 믹스·마진·기대치가 중요하다.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Palo Alto Networks는 매출 +34%, NGS ARR +63%를 발표했지만 최근 1일 -7.9%였다. [S4] [INFERENCE] 사이버보안도 강한 구조적 성장과 단기 기대 조정이 동시에 가능하다.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9C6500"/>
          <w:sz w:val="18"/>
          <w:szCs w:val="18"/>
        </w:rPr>
        <w:t xml:space="preserve">[OPEN QUESTION] 다음 실적 시즌에는 CAPEX 증가율보다 AI 매출의 인식 시점, 백로그 전환, 총마진, 고객 집중도, FCF를 체인별로 비교해야 한다.</w:t>
      </w:r>
    </w:p>
    <w:p>
      <w:pPr>
        <w:pBdr>
          <w:left w:val="single" w:color="2F75B5" w:sz="18"/>
        </w:pBdr>
        <w:shd w:fill="EAF2F8" w:val="clear"/>
        <w:spacing w:after="140" w:before="11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[그래프 삽입 위치] 가격 수익률 vs 실적·가이던스 확인 매트릭스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— 소프트웨어·컴퓨팅·네트워크·사이버보안의 가격/펀더멘털 괴리 표시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리스크 및 모니터링 대시보드</w:t>
      </w:r>
    </w:p>
    <w:tbl>
      <w:tblPr>
        <w:tblW w:type="dxa" w:w="740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2300"/>
        <w:gridCol w:w="2500"/>
        <w:gridCol w:w="2600"/>
      </w:tblGrid>
      <w:tr>
        <w:trPr>
          <w:tblHeader/>
        </w:trPr>
        <w:tc>
          <w:tcPr>
            <w:tcW w:type="dxa" w:w="23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관찰 변수</w:t>
            </w:r>
          </w:p>
        </w:tc>
        <w:tc>
          <w:tcPr>
            <w:tcW w:type="dxa" w:w="25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강세 확인 조건</w:t>
            </w:r>
          </w:p>
        </w:tc>
        <w:tc>
          <w:tcPr>
            <w:tcW w:type="dxa" w:w="2600"/>
            <w:shd w:fill="17365D" w:val="clear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경고 신호</w:t>
            </w:r>
          </w:p>
        </w:tc>
      </w:tr>
      <w:tr>
        <w:tc>
          <w:tcPr>
            <w:tcW w:type="dxa" w:w="23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체인별 4주 상대강도</w:t>
            </w:r>
          </w:p>
        </w:tc>
        <w:tc>
          <w:tcPr>
            <w:tcW w:type="dxa" w:w="25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S&amp;P 500 프록시 대비 2개 구간 연속 개선</w:t>
            </w:r>
          </w:p>
        </w:tc>
        <w:tc>
          <w:tcPr>
            <w:tcW w:type="dxa" w:w="26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하루 반등 후 상대저점 재하락</w:t>
            </w:r>
          </w:p>
        </w:tc>
      </w:tr>
      <w:tr>
        <w:tc>
          <w:tcPr>
            <w:tcW w:type="dxa" w:w="23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상승 breadth</w:t>
            </w:r>
          </w:p>
        </w:tc>
        <w:tc>
          <w:tcPr>
            <w:tcW w:type="dxa" w:w="25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50% 이상 및 상·하위 종목 기여 분산</w:t>
            </w:r>
          </w:p>
        </w:tc>
        <w:tc>
          <w:tcPr>
            <w:tcW w:type="dxa" w:w="26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1~2개 대형 이벤트에 집중</w:t>
            </w:r>
          </w:p>
        </w:tc>
      </w:tr>
      <w:tr>
        <w:tc>
          <w:tcPr>
            <w:tcW w:type="dxa" w:w="23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실적 추정치</w:t>
            </w:r>
          </w:p>
        </w:tc>
        <w:tc>
          <w:tcPr>
            <w:tcW w:type="dxa" w:w="25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매출·EPS 상향과 가격 상승 동행</w:t>
            </w:r>
          </w:p>
        </w:tc>
        <w:tc>
          <w:tcPr>
            <w:tcW w:type="dxa" w:w="26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가격만 반등하고 EPS 정체</w:t>
            </w:r>
          </w:p>
        </w:tc>
      </w:tr>
      <w:tr>
        <w:tc>
          <w:tcPr>
            <w:tcW w:type="dxa" w:w="23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AI CAPEX 수익화</w:t>
            </w:r>
          </w:p>
        </w:tc>
        <w:tc>
          <w:tcPr>
            <w:tcW w:type="dxa" w:w="25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백로그→매출 전환 및 마진 방어</w:t>
            </w:r>
          </w:p>
        </w:tc>
        <w:tc>
          <w:tcPr>
            <w:tcW w:type="dxa" w:w="26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CAPEX 증가 대비 FCF·마진 악화</w:t>
            </w:r>
          </w:p>
        </w:tc>
      </w:tr>
      <w:tr>
        <w:tc>
          <w:tcPr>
            <w:tcW w:type="dxa" w:w="23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기업행위 QA</w:t>
            </w:r>
          </w:p>
        </w:tc>
        <w:tc>
          <w:tcPr>
            <w:tcW w:type="dxa" w:w="25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가격·시총·분할 계수의 연속성</w:t>
            </w:r>
          </w:p>
        </w:tc>
        <w:tc>
          <w:tcPr>
            <w:tcW w:type="dxa" w:w="2600"/>
            <w:tcMar>
              <w:top w:type="dxa" w:w="55"/>
              <w:left w:type="dxa" w:w="65"/>
              <w:bottom w:type="dxa" w:w="55"/>
              <w:right w:type="dxa" w:w="6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가격 2배/절반 변화와 시총 불일치</w:t>
            </w:r>
          </w:p>
        </w:tc>
      </w:tr>
    </w:tbl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동일가중 방식은 소형 구성종목의 영향이 공식 시총가중 지수보다 크다. 단기 순위는 종목 수와 변동성 차이에 민감하다.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가격수익률만 사용하므로 배당과 환율은 제외된다. 테마별 실적 추정치·밸류에이션 자료를 추가하면 가격 로테이션의 지속 가능성을 더 정확히 판단할 수 있다.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보고서상 종목별 기여도는 동일가중 단순 근사치다. 일별 리밸런싱 복리 때문에 표시 기여도의 합이 체인 누적수익률과 정확히 일치하지 않을 수 있다.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9C6500"/>
          <w:sz w:val="18"/>
          <w:szCs w:val="18"/>
        </w:rPr>
        <w:t xml:space="preserve">[OPEN QUESTION] 데이터 업데이트 시 1D·1M·3M 순위, breadth, MDD, 벤치마크 대비 상대수익률이 함께 개선되는 체인을 우선 모니터링한다.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Sources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시장 데이터는 사용자 제공 BQuant 파일을 사용했다. 외부 자료는 가격 신호와 실적·기업행위의 연결을 점검하는 데 사용했다.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7365D"/>
          <w:sz w:val="15"/>
          <w:szCs w:val="15"/>
        </w:rPr>
        <w:t xml:space="preserve">M1 · BQuant_Master.xlsx · 사용자 제공 Bloomberg BQuant 원자료 · 2026-09-03 갱신 · 로컬 원자료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S1 · Wall Street rises as tech stocks climb · Associated Press · 2026-09-02 · </w:t>
      </w:r>
      <w:hyperlink w:history="1" r:id="rId9ujlc_v6cw6_mqd97z_ja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S2 · Salesforce FY27 Q2 earnings · Salesforce · 2026-08-26 · </w:t>
      </w:r>
      <w:hyperlink w:history="1" r:id="rIdfijuwidakedpbo_yorl6u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S3 · NVIDIA fiscal Q2 2027 results · NVIDIA · 2026 · </w:t>
      </w:r>
      <w:hyperlink w:history="1" r:id="rIdp7w5-0zbk-w6sbfn8zvzx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S4 · Palo Alto Networks fiscal Q4 and FY2026 results · Palo Alto Networks · 2026-09-01 · </w:t>
      </w:r>
      <w:hyperlink w:history="1" r:id="rIdzzcv542cny6bh5h5aqgep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S5 · Marvell fiscal Q2 2027 results · Marvell Technology · 2026-08-27 · </w:t>
      </w:r>
      <w:hyperlink w:history="1" r:id="rIdofrq3v_yq0r3fr3uawanw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5"/>
          <w:szCs w:val="15"/>
        </w:rPr>
        <w:t xml:space="preserve">S6 · Amphenol two-for-one stock split · Amphenol · 2026 · </w:t>
      </w:r>
      <w:hyperlink w:history="1" r:id="rId_df5v3pmxlyzl7axxqb_d">
        <w:r>
          <w:rPr>
            <w:rFonts w:ascii="Malgun Gothic" w:cs="Malgun Gothic" w:eastAsia="Malgun Gothic" w:hAnsi="Malgun Gothic"/>
            <w:color w:val="2F75B5"/>
            <w:sz w:val="15"/>
            <w:szCs w:val="15"/>
            <w:u w:val="single"/>
          </w:rPr>
          <w:t xml:space="preserve">원문</w:t>
        </w:r>
      </w:hyperlink>
    </w:p>
    <w:sectPr>
      <w:headerReference w:type="default" r:id="rId7"/>
      <w:footerReference w:type="default" r:id="rId8"/>
      <w:pgSz w:w="11906" w:h="16838" w:orient="landscape"/>
      <w:pgMar w:top="650" w:right="680" w:bottom="65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Confidential · </w:t>
    </w:r>
    <w:r>
      <w:rPr>
        <w:rFonts w:ascii="Malgun Gothic" w:cs="Malgun Gothic" w:eastAsia="Malgun Gothic" w:hAnsi="Malgun Gothic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US AI Value Chain · 2026-09-02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Malgun Gothic" w:cs="Malgun Gothic" w:eastAsia="Malgun Gothic" w:hAnsi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Malgun Gothic" w:cs="Malgun Gothic" w:eastAsia="Malgun Gothic" w:hAnsi="Malgun Gothic"/>
      <w:b/>
      <w:bCs/>
      <w:color w:val="2F75B5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Malgun Gothic" w:cs="Malgun Gothic" w:eastAsia="Malgun Gothic" w:hAnsi="Malgun Gothic"/>
      <w:b/>
      <w:bCs/>
      <w:color w:val="17365D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ujlc_v6cw6_mqd97z_ja" Type="http://schemas.openxmlformats.org/officeDocument/2006/relationships/hyperlink" Target="https://apnews.com/article/27b78c349725ac744c96a6b8b8167bae" TargetMode="External"/><Relationship Id="rIdfijuwidakedpbo_yorl6u" Type="http://schemas.openxmlformats.org/officeDocument/2006/relationships/hyperlink" Target="https://www.salesforce.com/news/press-releases/2026/08/26/fy27-q2-earnings/" TargetMode="External"/><Relationship Id="rIdp7w5-0zbk-w6sbfn8zvzx" Type="http://schemas.openxmlformats.org/officeDocument/2006/relationships/hyperlink" Target="https://investor.nvidia.com/news/press-release-details/2026/NVIDIA-Announces-Financial-Results-for-Second-Quarter-Fiscal-2027/default.aspx" TargetMode="External"/><Relationship Id="rIdzzcv542cny6bh5h5aqgep" Type="http://schemas.openxmlformats.org/officeDocument/2006/relationships/hyperlink" Target="https://investors.paloaltonetworks.com/news-releases/news-release-details/palo-alto-networks-reports-fiscal-fourth-quarter-and-fiscal-10" TargetMode="External"/><Relationship Id="rIdofrq3v_yq0r3fr3uawanw" Type="http://schemas.openxmlformats.org/officeDocument/2006/relationships/hyperlink" Target="https://investor.marvell.com/news-events/press-releases/detail/1031/marvell-technology-inc-reports-second-quarter-of-fiscal-year-2027-financial-results" TargetMode="External"/><Relationship Id="rId_df5v3pmxlyzl7axxqb_d" Type="http://schemas.openxmlformats.org/officeDocument/2006/relationships/hyperlink" Target="https://investor.amphenol.com/news-and-events/news-details/2026/Amphenol-Announces-Two-for-One-Stock-Split-and-Third-Quarter-2026-Dividend/default.aspx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 AI 밸류체인 최근 3개월 및 1일 분석</dc:title>
  <dc:creator>OpenAI Codex</dc:creator>
  <dc:description>S&amp;P 500 AI value-chain equal-weight rotation report</dc:description>
  <cp:lastModifiedBy>Un-named</cp:lastModifiedBy>
  <cp:revision>1</cp:revision>
  <dcterms:created xsi:type="dcterms:W3CDTF">2026-09-03T00:20:06.598Z</dcterms:created>
  <dcterms:modified xsi:type="dcterms:W3CDTF">2026-09-03T00:20:06.599Z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